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pPr w:leftFromText="180" w:rightFromText="180" w:vertAnchor="text" w:tblpY="1"/>
        <w:tblOverlap w:val="never"/>
        <w:tblW w:w="0" w:type="auto"/>
        <w:tblLook w:val="0000" w:firstRow="0" w:lastRow="0" w:firstColumn="0" w:lastColumn="0" w:noHBand="0" w:noVBand="0"/>
        <w:tblCaption w:val="Cabinet report summary details"/>
      </w:tblPr>
      <w:tblGrid>
        <w:gridCol w:w="3373"/>
        <w:gridCol w:w="4936"/>
      </w:tblGrid>
      <w:tr w:rsidR="00333FAA" w14:paraId="322EF0DF" w14:textId="77777777" w:rsidTr="003921C4">
        <w:trPr>
          <w:tblHeader/>
        </w:trPr>
        <w:tc>
          <w:tcPr>
            <w:tcW w:w="3373" w:type="dxa"/>
            <w:tcBorders>
              <w:bottom w:val="single" w:sz="18" w:space="0" w:color="auto"/>
            </w:tcBorders>
          </w:tcPr>
          <w:p w14:paraId="10F9A427" w14:textId="77777777" w:rsidR="00333FAA" w:rsidRPr="00B805DB" w:rsidRDefault="005811F8" w:rsidP="003921C4">
            <w:pPr>
              <w:pStyle w:val="Heading1"/>
              <w:spacing w:after="240"/>
              <w:outlineLvl w:val="0"/>
            </w:pPr>
            <w:r>
              <w:t>Report f</w:t>
            </w:r>
            <w:r w:rsidRPr="00C869F3">
              <w:t>or</w:t>
            </w:r>
            <w:r w:rsidR="00333FAA" w:rsidRPr="00C869F3">
              <w:t>:</w:t>
            </w:r>
          </w:p>
        </w:tc>
        <w:tc>
          <w:tcPr>
            <w:tcW w:w="4936" w:type="dxa"/>
            <w:tcBorders>
              <w:bottom w:val="single" w:sz="18" w:space="0" w:color="auto"/>
            </w:tcBorders>
          </w:tcPr>
          <w:p w14:paraId="541B30E0" w14:textId="77777777" w:rsidR="00333FAA" w:rsidRPr="005E3A10" w:rsidRDefault="005811F8" w:rsidP="003921C4">
            <w:pPr>
              <w:pStyle w:val="Heading1"/>
              <w:outlineLvl w:val="0"/>
              <w:rPr>
                <w:szCs w:val="24"/>
              </w:rPr>
            </w:pPr>
            <w:r w:rsidRPr="005E3A10">
              <w:t>Cabinet</w:t>
            </w:r>
          </w:p>
        </w:tc>
      </w:tr>
      <w:tr w:rsidR="00333FAA" w14:paraId="67D60646" w14:textId="77777777" w:rsidTr="003921C4">
        <w:tc>
          <w:tcPr>
            <w:tcW w:w="3373" w:type="dxa"/>
            <w:tcBorders>
              <w:top w:val="single" w:sz="18" w:space="0" w:color="auto"/>
            </w:tcBorders>
          </w:tcPr>
          <w:p w14:paraId="4DDB5947" w14:textId="77777777" w:rsidR="00333FAA" w:rsidRPr="00C13A5F" w:rsidRDefault="00333FAA" w:rsidP="003921C4">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36" w:type="dxa"/>
            <w:tcBorders>
              <w:top w:val="single" w:sz="18" w:space="0" w:color="auto"/>
            </w:tcBorders>
          </w:tcPr>
          <w:p w14:paraId="72FCD075" w14:textId="5013155F" w:rsidR="00333FAA" w:rsidRPr="005E3A10" w:rsidRDefault="003949C9" w:rsidP="003921C4">
            <w:pPr>
              <w:rPr>
                <w:rFonts w:cs="Arial"/>
                <w:szCs w:val="24"/>
              </w:rPr>
            </w:pPr>
            <w:r>
              <w:rPr>
                <w:rFonts w:cs="Arial"/>
                <w:szCs w:val="24"/>
              </w:rPr>
              <w:t>17</w:t>
            </w:r>
            <w:r w:rsidRPr="003949C9">
              <w:rPr>
                <w:rFonts w:cs="Arial"/>
                <w:szCs w:val="24"/>
                <w:vertAlign w:val="superscript"/>
              </w:rPr>
              <w:t>th</w:t>
            </w:r>
            <w:r>
              <w:rPr>
                <w:rFonts w:cs="Arial"/>
                <w:szCs w:val="24"/>
              </w:rPr>
              <w:t xml:space="preserve"> November 2022</w:t>
            </w:r>
          </w:p>
        </w:tc>
      </w:tr>
      <w:tr w:rsidR="00333FAA" w14:paraId="3CC97725" w14:textId="77777777" w:rsidTr="003921C4">
        <w:tc>
          <w:tcPr>
            <w:tcW w:w="3373" w:type="dxa"/>
          </w:tcPr>
          <w:p w14:paraId="18BB8951" w14:textId="77777777" w:rsidR="00333FAA" w:rsidRPr="00C13A5F" w:rsidRDefault="00333FAA" w:rsidP="003921C4">
            <w:pPr>
              <w:pStyle w:val="Infotext"/>
              <w:spacing w:after="240"/>
              <w:rPr>
                <w:rFonts w:ascii="Arial Black" w:hAnsi="Arial Black"/>
              </w:rPr>
            </w:pPr>
            <w:r w:rsidRPr="00C13A5F">
              <w:rPr>
                <w:rFonts w:ascii="Arial Black" w:hAnsi="Arial Black" w:cs="Arial"/>
              </w:rPr>
              <w:t>Subject:</w:t>
            </w:r>
          </w:p>
        </w:tc>
        <w:tc>
          <w:tcPr>
            <w:tcW w:w="4936" w:type="dxa"/>
          </w:tcPr>
          <w:p w14:paraId="1BEAD537" w14:textId="77777777" w:rsidR="00333FAA" w:rsidRDefault="00F06477" w:rsidP="003921C4">
            <w:pPr>
              <w:rPr>
                <w:rFonts w:cs="Arial"/>
                <w:szCs w:val="24"/>
              </w:rPr>
            </w:pPr>
            <w:r>
              <w:rPr>
                <w:rFonts w:cs="Arial"/>
                <w:szCs w:val="24"/>
              </w:rPr>
              <w:t>Harrow Strategic Development Partnership – Review and Progress</w:t>
            </w:r>
          </w:p>
          <w:p w14:paraId="6D8FB2C1" w14:textId="6C83EB68" w:rsidR="00907D80" w:rsidRPr="005E3A10" w:rsidRDefault="00907D80" w:rsidP="003921C4">
            <w:pPr>
              <w:rPr>
                <w:rFonts w:cs="Arial"/>
                <w:szCs w:val="24"/>
              </w:rPr>
            </w:pPr>
          </w:p>
        </w:tc>
      </w:tr>
      <w:tr w:rsidR="00333FAA" w14:paraId="32449166" w14:textId="77777777" w:rsidTr="003921C4">
        <w:tc>
          <w:tcPr>
            <w:tcW w:w="3373" w:type="dxa"/>
          </w:tcPr>
          <w:p w14:paraId="17ECA8FA" w14:textId="77777777" w:rsidR="00333FAA" w:rsidRPr="00C13A5F" w:rsidRDefault="00333FAA" w:rsidP="003921C4">
            <w:pPr>
              <w:pStyle w:val="Infotext"/>
              <w:spacing w:after="240"/>
              <w:rPr>
                <w:rFonts w:ascii="Arial Black" w:hAnsi="Arial Black" w:cs="Arial"/>
              </w:rPr>
            </w:pPr>
            <w:r w:rsidRPr="00C13A5F">
              <w:rPr>
                <w:rFonts w:ascii="Arial Black" w:hAnsi="Arial Black" w:cs="Arial"/>
              </w:rPr>
              <w:t>Key Decision:</w:t>
            </w:r>
          </w:p>
        </w:tc>
        <w:tc>
          <w:tcPr>
            <w:tcW w:w="4936" w:type="dxa"/>
          </w:tcPr>
          <w:p w14:paraId="12B3876C" w14:textId="33E2D1C0" w:rsidR="007B1F19" w:rsidRPr="003921C4" w:rsidRDefault="00432A88" w:rsidP="003921C4">
            <w:pPr>
              <w:pStyle w:val="Infotext"/>
              <w:rPr>
                <w:sz w:val="24"/>
                <w:szCs w:val="18"/>
              </w:rPr>
            </w:pPr>
            <w:r w:rsidRPr="003921C4">
              <w:rPr>
                <w:sz w:val="24"/>
                <w:szCs w:val="18"/>
              </w:rPr>
              <w:t>Yes - the matter is key by virtue of</w:t>
            </w:r>
          </w:p>
          <w:p w14:paraId="1F9590F0" w14:textId="77777777" w:rsidR="00D705D1" w:rsidRDefault="00D705D1" w:rsidP="003921C4">
            <w:pPr>
              <w:pStyle w:val="Infotext"/>
            </w:pPr>
          </w:p>
          <w:p w14:paraId="031D8F3C" w14:textId="7DAE1E4E" w:rsidR="00432A88" w:rsidRPr="003921C4" w:rsidRDefault="00432A88" w:rsidP="003921C4">
            <w:pPr>
              <w:pStyle w:val="Infotext"/>
              <w:numPr>
                <w:ilvl w:val="0"/>
                <w:numId w:val="1"/>
              </w:numPr>
              <w:rPr>
                <w:sz w:val="24"/>
                <w:szCs w:val="18"/>
              </w:rPr>
            </w:pPr>
            <w:r w:rsidRPr="003921C4">
              <w:rPr>
                <w:sz w:val="24"/>
                <w:szCs w:val="18"/>
              </w:rPr>
              <w:t>Financial/ Budget considerations because it will involve capital expenditure in excess of</w:t>
            </w:r>
            <w:r w:rsidR="00632B36" w:rsidRPr="003921C4">
              <w:rPr>
                <w:sz w:val="24"/>
                <w:szCs w:val="18"/>
              </w:rPr>
              <w:t xml:space="preserve"> £1m</w:t>
            </w:r>
          </w:p>
          <w:p w14:paraId="5EA86817" w14:textId="35AB3418" w:rsidR="00D705D1" w:rsidRPr="003921C4" w:rsidRDefault="00D705D1" w:rsidP="003921C4">
            <w:pPr>
              <w:pStyle w:val="Infotext"/>
              <w:numPr>
                <w:ilvl w:val="0"/>
                <w:numId w:val="1"/>
              </w:numPr>
              <w:rPr>
                <w:sz w:val="24"/>
                <w:szCs w:val="18"/>
              </w:rPr>
            </w:pPr>
            <w:r w:rsidRPr="003921C4">
              <w:rPr>
                <w:sz w:val="24"/>
                <w:szCs w:val="18"/>
              </w:rPr>
              <w:t>It will be significant in terms of its effects on all wards of the Borough</w:t>
            </w:r>
          </w:p>
          <w:p w14:paraId="3EADF2B3" w14:textId="6724A011" w:rsidR="00632B36" w:rsidRPr="005E3A10" w:rsidRDefault="00632B36" w:rsidP="003921C4">
            <w:pPr>
              <w:pStyle w:val="Infotext"/>
              <w:rPr>
                <w:rFonts w:cs="Arial"/>
                <w:szCs w:val="24"/>
              </w:rPr>
            </w:pPr>
          </w:p>
        </w:tc>
      </w:tr>
      <w:tr w:rsidR="001C7E35" w14:paraId="79E96200" w14:textId="77777777" w:rsidTr="003921C4">
        <w:tc>
          <w:tcPr>
            <w:tcW w:w="3373" w:type="dxa"/>
          </w:tcPr>
          <w:p w14:paraId="0B8ABDC4" w14:textId="77777777" w:rsidR="001C7E35" w:rsidRPr="00C13A5F" w:rsidRDefault="001C7E35" w:rsidP="003921C4">
            <w:pPr>
              <w:pStyle w:val="Infotext"/>
              <w:spacing w:after="240"/>
              <w:rPr>
                <w:rFonts w:ascii="Arial Black" w:hAnsi="Arial Black" w:cs="Arial"/>
              </w:rPr>
            </w:pPr>
            <w:r w:rsidRPr="00C13A5F">
              <w:rPr>
                <w:rFonts w:ascii="Arial Black" w:hAnsi="Arial Black" w:cs="Arial"/>
              </w:rPr>
              <w:t>Responsible Officer:</w:t>
            </w:r>
          </w:p>
        </w:tc>
        <w:tc>
          <w:tcPr>
            <w:tcW w:w="4936" w:type="dxa"/>
          </w:tcPr>
          <w:p w14:paraId="649EB528" w14:textId="069082DC" w:rsidR="001C7E35" w:rsidRPr="005E3A10" w:rsidRDefault="0067261E" w:rsidP="003921C4">
            <w:pPr>
              <w:pStyle w:val="Infotext"/>
              <w:rPr>
                <w:rFonts w:cs="Arial"/>
                <w:sz w:val="24"/>
                <w:szCs w:val="24"/>
              </w:rPr>
            </w:pPr>
            <w:r>
              <w:rPr>
                <w:rFonts w:cs="Arial"/>
                <w:sz w:val="24"/>
                <w:szCs w:val="24"/>
              </w:rPr>
              <w:t>Dipti Patel</w:t>
            </w:r>
            <w:r w:rsidR="005877DD">
              <w:rPr>
                <w:rFonts w:cs="Arial"/>
                <w:sz w:val="24"/>
                <w:szCs w:val="24"/>
              </w:rPr>
              <w:t xml:space="preserve"> - </w:t>
            </w:r>
            <w:r w:rsidR="00ED286B">
              <w:rPr>
                <w:rFonts w:cs="Arial"/>
                <w:sz w:val="24"/>
                <w:szCs w:val="24"/>
              </w:rPr>
              <w:t xml:space="preserve">Corporate Director </w:t>
            </w:r>
            <w:r w:rsidR="001613A8">
              <w:rPr>
                <w:rFonts w:cs="Arial"/>
                <w:sz w:val="24"/>
                <w:szCs w:val="24"/>
              </w:rPr>
              <w:t xml:space="preserve">- </w:t>
            </w:r>
            <w:r w:rsidR="00ED286B">
              <w:rPr>
                <w:rFonts w:cs="Arial"/>
                <w:sz w:val="24"/>
                <w:szCs w:val="24"/>
              </w:rPr>
              <w:t>Place</w:t>
            </w:r>
          </w:p>
          <w:p w14:paraId="3798BF23" w14:textId="77777777" w:rsidR="001C7E35" w:rsidRPr="005E3A10" w:rsidRDefault="001C7E35" w:rsidP="003921C4">
            <w:pPr>
              <w:pStyle w:val="Infotext"/>
              <w:rPr>
                <w:rFonts w:cs="Arial"/>
                <w:sz w:val="24"/>
                <w:szCs w:val="24"/>
              </w:rPr>
            </w:pPr>
          </w:p>
        </w:tc>
      </w:tr>
      <w:tr w:rsidR="001C7E35" w14:paraId="3B6FD8B1" w14:textId="77777777" w:rsidTr="003921C4">
        <w:tc>
          <w:tcPr>
            <w:tcW w:w="3373" w:type="dxa"/>
          </w:tcPr>
          <w:p w14:paraId="0961945D" w14:textId="77777777" w:rsidR="001C7E35" w:rsidRPr="00C13A5F" w:rsidRDefault="001C7E35" w:rsidP="003921C4">
            <w:pPr>
              <w:pStyle w:val="Infotext"/>
              <w:spacing w:after="240"/>
              <w:rPr>
                <w:rFonts w:ascii="Arial Black" w:hAnsi="Arial Black"/>
              </w:rPr>
            </w:pPr>
            <w:r w:rsidRPr="00DB6C3D">
              <w:rPr>
                <w:rFonts w:ascii="Arial Black" w:hAnsi="Arial Black"/>
              </w:rPr>
              <w:t>Portfolio Holder:</w:t>
            </w:r>
          </w:p>
        </w:tc>
        <w:tc>
          <w:tcPr>
            <w:tcW w:w="4936" w:type="dxa"/>
          </w:tcPr>
          <w:p w14:paraId="323C7BC8" w14:textId="5609F642" w:rsidR="00CF100A" w:rsidRDefault="0040719E" w:rsidP="003921C4">
            <w:pPr>
              <w:pStyle w:val="Infotext"/>
              <w:rPr>
                <w:rFonts w:cs="Arial"/>
                <w:sz w:val="24"/>
                <w:szCs w:val="24"/>
              </w:rPr>
            </w:pPr>
            <w:r>
              <w:rPr>
                <w:rFonts w:cs="Arial"/>
                <w:sz w:val="24"/>
                <w:szCs w:val="24"/>
              </w:rPr>
              <w:t>Councillor Marilyn As</w:t>
            </w:r>
            <w:r w:rsidR="00CF100A">
              <w:rPr>
                <w:rFonts w:cs="Arial"/>
                <w:sz w:val="24"/>
                <w:szCs w:val="24"/>
              </w:rPr>
              <w:t>hton</w:t>
            </w:r>
            <w:r w:rsidR="005877DD">
              <w:rPr>
                <w:rFonts w:cs="Arial"/>
                <w:sz w:val="24"/>
                <w:szCs w:val="24"/>
              </w:rPr>
              <w:t xml:space="preserve"> - </w:t>
            </w:r>
            <w:r w:rsidR="00CF100A">
              <w:rPr>
                <w:rFonts w:cs="Arial"/>
                <w:sz w:val="24"/>
                <w:szCs w:val="24"/>
              </w:rPr>
              <w:t>Deputy Leader and Portfolio Holder for Planning and Regeneration</w:t>
            </w:r>
          </w:p>
          <w:p w14:paraId="123F9E81" w14:textId="77777777" w:rsidR="00E729A7" w:rsidRDefault="00E729A7" w:rsidP="003921C4">
            <w:pPr>
              <w:pStyle w:val="Infotext"/>
              <w:rPr>
                <w:rFonts w:cs="Arial"/>
                <w:sz w:val="24"/>
                <w:szCs w:val="24"/>
              </w:rPr>
            </w:pPr>
          </w:p>
          <w:p w14:paraId="642CB549" w14:textId="5B915807" w:rsidR="00E729A7" w:rsidRDefault="00E729A7" w:rsidP="003921C4">
            <w:pPr>
              <w:pStyle w:val="Infotext"/>
              <w:rPr>
                <w:rFonts w:cs="Arial"/>
                <w:sz w:val="24"/>
                <w:szCs w:val="24"/>
              </w:rPr>
            </w:pPr>
            <w:r>
              <w:rPr>
                <w:rFonts w:cs="Arial"/>
                <w:sz w:val="24"/>
                <w:szCs w:val="24"/>
              </w:rPr>
              <w:t>Councillor David Ashton</w:t>
            </w:r>
            <w:r w:rsidR="005877DD">
              <w:rPr>
                <w:rFonts w:cs="Arial"/>
                <w:sz w:val="24"/>
                <w:szCs w:val="24"/>
              </w:rPr>
              <w:t xml:space="preserve"> - </w:t>
            </w:r>
            <w:r>
              <w:rPr>
                <w:rFonts w:cs="Arial"/>
                <w:sz w:val="24"/>
                <w:szCs w:val="24"/>
              </w:rPr>
              <w:t>Portfolio Holder for Finance and Human Resources</w:t>
            </w:r>
          </w:p>
          <w:p w14:paraId="3BB13753" w14:textId="18A4400C" w:rsidR="004C0256" w:rsidRDefault="004C0256" w:rsidP="003921C4">
            <w:pPr>
              <w:pStyle w:val="Infotext"/>
              <w:rPr>
                <w:rFonts w:cs="Arial"/>
                <w:sz w:val="24"/>
                <w:szCs w:val="24"/>
              </w:rPr>
            </w:pPr>
          </w:p>
          <w:p w14:paraId="4B1EF53A" w14:textId="3CC19016" w:rsidR="004C0256" w:rsidRPr="005E3A10" w:rsidRDefault="004C0256" w:rsidP="003921C4">
            <w:pPr>
              <w:pStyle w:val="Infotext"/>
              <w:rPr>
                <w:rFonts w:cs="Arial"/>
                <w:sz w:val="24"/>
                <w:szCs w:val="24"/>
              </w:rPr>
            </w:pPr>
            <w:r>
              <w:rPr>
                <w:rFonts w:cs="Arial"/>
                <w:sz w:val="24"/>
                <w:szCs w:val="24"/>
              </w:rPr>
              <w:t>Councillor Mina Parmar</w:t>
            </w:r>
            <w:r w:rsidR="005877DD">
              <w:rPr>
                <w:rFonts w:cs="Arial"/>
                <w:sz w:val="24"/>
                <w:szCs w:val="24"/>
              </w:rPr>
              <w:t xml:space="preserve"> - </w:t>
            </w:r>
            <w:r>
              <w:rPr>
                <w:rFonts w:cs="Arial"/>
                <w:sz w:val="24"/>
                <w:szCs w:val="24"/>
              </w:rPr>
              <w:t>Portfolio Holder for Housing</w:t>
            </w:r>
          </w:p>
          <w:p w14:paraId="39A9A01A" w14:textId="16230E50" w:rsidR="001C7E35" w:rsidRPr="005E3A10" w:rsidRDefault="001C7E35" w:rsidP="003921C4">
            <w:pPr>
              <w:pStyle w:val="Infotext"/>
              <w:rPr>
                <w:rFonts w:cs="Arial"/>
                <w:color w:val="FF0000"/>
                <w:sz w:val="24"/>
                <w:szCs w:val="24"/>
              </w:rPr>
            </w:pPr>
          </w:p>
        </w:tc>
      </w:tr>
      <w:tr w:rsidR="00B76B76" w14:paraId="3CF618C8" w14:textId="77777777" w:rsidTr="003921C4">
        <w:tc>
          <w:tcPr>
            <w:tcW w:w="3373" w:type="dxa"/>
          </w:tcPr>
          <w:p w14:paraId="4CD8D092" w14:textId="77777777" w:rsidR="00B76B76" w:rsidRPr="00C13A5F" w:rsidRDefault="00B76B76" w:rsidP="003921C4">
            <w:pPr>
              <w:pStyle w:val="Infotext"/>
              <w:spacing w:after="240"/>
              <w:rPr>
                <w:rFonts w:ascii="Arial Black" w:hAnsi="Arial Black"/>
              </w:rPr>
            </w:pPr>
            <w:r w:rsidRPr="00DB6C3D">
              <w:rPr>
                <w:rFonts w:ascii="Arial Black" w:hAnsi="Arial Black"/>
              </w:rPr>
              <w:t>Exempt:</w:t>
            </w:r>
          </w:p>
        </w:tc>
        <w:tc>
          <w:tcPr>
            <w:tcW w:w="4936" w:type="dxa"/>
          </w:tcPr>
          <w:p w14:paraId="541B481D" w14:textId="4FC671EA" w:rsidR="00B76B76" w:rsidRPr="00ED2233" w:rsidRDefault="00B76B76" w:rsidP="003921C4">
            <w:pPr>
              <w:pStyle w:val="Infotext"/>
              <w:rPr>
                <w:sz w:val="24"/>
                <w:szCs w:val="24"/>
              </w:rPr>
            </w:pPr>
            <w:r w:rsidRPr="00ED2233">
              <w:rPr>
                <w:sz w:val="24"/>
                <w:szCs w:val="24"/>
              </w:rPr>
              <w:t xml:space="preserve">Part Exempt - Appendix </w:t>
            </w:r>
            <w:r>
              <w:rPr>
                <w:sz w:val="24"/>
                <w:szCs w:val="24"/>
              </w:rPr>
              <w:t xml:space="preserve">1 </w:t>
            </w:r>
            <w:r w:rsidRPr="00ED2233">
              <w:rPr>
                <w:sz w:val="24"/>
                <w:szCs w:val="24"/>
              </w:rPr>
              <w:t xml:space="preserve">is confidential under paragraph 3 of Schedule 12A of the Local Government Act 1972 (as amended) because it contains information relating to the financial and business affairs of the Council and Wates. </w:t>
            </w:r>
          </w:p>
          <w:p w14:paraId="755E47D1" w14:textId="6C2037DE" w:rsidR="00B76B76" w:rsidRPr="005E3A10" w:rsidRDefault="00B76B76" w:rsidP="003921C4">
            <w:pPr>
              <w:pStyle w:val="Infotext"/>
              <w:rPr>
                <w:rFonts w:cs="Arial"/>
                <w:color w:val="FF0000"/>
                <w:sz w:val="24"/>
                <w:szCs w:val="24"/>
              </w:rPr>
            </w:pPr>
          </w:p>
        </w:tc>
      </w:tr>
      <w:tr w:rsidR="00B76B76" w14:paraId="577CD75A" w14:textId="77777777" w:rsidTr="003921C4">
        <w:tc>
          <w:tcPr>
            <w:tcW w:w="3373" w:type="dxa"/>
          </w:tcPr>
          <w:p w14:paraId="4821943C" w14:textId="77777777" w:rsidR="00B76B76" w:rsidRPr="00C13A5F" w:rsidRDefault="00B76B76" w:rsidP="003921C4">
            <w:pPr>
              <w:pStyle w:val="Infotext"/>
              <w:spacing w:after="240"/>
              <w:rPr>
                <w:rFonts w:ascii="Arial Black" w:hAnsi="Arial Black"/>
              </w:rPr>
            </w:pPr>
            <w:r w:rsidRPr="00DB6C3D">
              <w:rPr>
                <w:rFonts w:ascii="Arial Black" w:hAnsi="Arial Black"/>
              </w:rPr>
              <w:t>Decision subject to Call-in:</w:t>
            </w:r>
          </w:p>
        </w:tc>
        <w:tc>
          <w:tcPr>
            <w:tcW w:w="4936" w:type="dxa"/>
          </w:tcPr>
          <w:p w14:paraId="3A75E271" w14:textId="1B5F5C00" w:rsidR="00B76B76" w:rsidRPr="005E3A10" w:rsidRDefault="00B76B76" w:rsidP="003921C4">
            <w:pPr>
              <w:pStyle w:val="Infotext"/>
              <w:rPr>
                <w:rFonts w:cs="Arial"/>
                <w:szCs w:val="24"/>
              </w:rPr>
            </w:pPr>
            <w:r w:rsidRPr="005E3A10">
              <w:rPr>
                <w:rFonts w:cs="Arial"/>
                <w:sz w:val="24"/>
                <w:szCs w:val="24"/>
              </w:rPr>
              <w:t xml:space="preserve">Yes </w:t>
            </w:r>
          </w:p>
        </w:tc>
      </w:tr>
      <w:tr w:rsidR="00B76B76" w14:paraId="7E5497E1" w14:textId="77777777" w:rsidTr="003921C4">
        <w:tc>
          <w:tcPr>
            <w:tcW w:w="3373" w:type="dxa"/>
          </w:tcPr>
          <w:p w14:paraId="6B5E6A6A" w14:textId="77777777" w:rsidR="00B76B76" w:rsidRPr="00C13A5F" w:rsidRDefault="00B76B76" w:rsidP="003921C4">
            <w:pPr>
              <w:pStyle w:val="Infotext"/>
              <w:spacing w:after="240"/>
              <w:rPr>
                <w:rFonts w:ascii="Arial Black" w:hAnsi="Arial Black" w:cs="Arial"/>
              </w:rPr>
            </w:pPr>
            <w:r>
              <w:rPr>
                <w:rFonts w:ascii="Arial Black" w:hAnsi="Arial Black" w:cs="Arial"/>
              </w:rPr>
              <w:t>Wards affected:</w:t>
            </w:r>
          </w:p>
        </w:tc>
        <w:tc>
          <w:tcPr>
            <w:tcW w:w="4936" w:type="dxa"/>
          </w:tcPr>
          <w:p w14:paraId="202552BB" w14:textId="14FE2C5D" w:rsidR="00B76B76" w:rsidRPr="00307F76" w:rsidRDefault="00B76B76" w:rsidP="003921C4">
            <w:pPr>
              <w:rPr>
                <w:rFonts w:cs="Arial"/>
                <w:b/>
                <w:color w:val="FF0000"/>
                <w:szCs w:val="24"/>
              </w:rPr>
            </w:pPr>
            <w:r>
              <w:rPr>
                <w:rFonts w:cs="Arial"/>
                <w:szCs w:val="24"/>
              </w:rPr>
              <w:t xml:space="preserve">All </w:t>
            </w:r>
          </w:p>
          <w:p w14:paraId="52E38AE7" w14:textId="0F582101" w:rsidR="00B76B76" w:rsidRPr="00307F76" w:rsidRDefault="00B76B76" w:rsidP="003921C4">
            <w:pPr>
              <w:rPr>
                <w:rFonts w:cs="Arial"/>
                <w:b/>
                <w:color w:val="FF0000"/>
                <w:szCs w:val="24"/>
              </w:rPr>
            </w:pPr>
          </w:p>
        </w:tc>
      </w:tr>
      <w:tr w:rsidR="00B76B76" w14:paraId="5F1445BF" w14:textId="77777777" w:rsidTr="003921C4">
        <w:tc>
          <w:tcPr>
            <w:tcW w:w="3373" w:type="dxa"/>
          </w:tcPr>
          <w:p w14:paraId="0E539C63" w14:textId="77777777" w:rsidR="00B76B76" w:rsidRPr="00C13A5F" w:rsidRDefault="00B76B76" w:rsidP="003921C4">
            <w:pPr>
              <w:pStyle w:val="Infotext"/>
              <w:spacing w:after="240"/>
              <w:rPr>
                <w:rFonts w:ascii="Arial Black" w:hAnsi="Arial Black" w:cs="Arial"/>
              </w:rPr>
            </w:pPr>
            <w:r w:rsidRPr="00C13A5F">
              <w:rPr>
                <w:rFonts w:ascii="Arial Black" w:hAnsi="Arial Black" w:cs="Arial"/>
              </w:rPr>
              <w:t>Enclosures:</w:t>
            </w:r>
          </w:p>
        </w:tc>
        <w:tc>
          <w:tcPr>
            <w:tcW w:w="4936" w:type="dxa"/>
          </w:tcPr>
          <w:p w14:paraId="6BCB4819" w14:textId="77777777" w:rsidR="003921C4" w:rsidRDefault="00DA0167" w:rsidP="003921C4">
            <w:pPr>
              <w:pStyle w:val="Infotext"/>
              <w:rPr>
                <w:rFonts w:cs="Arial"/>
                <w:sz w:val="24"/>
                <w:szCs w:val="24"/>
              </w:rPr>
            </w:pPr>
            <w:r>
              <w:rPr>
                <w:rFonts w:cs="Arial"/>
                <w:sz w:val="24"/>
                <w:szCs w:val="24"/>
              </w:rPr>
              <w:t>Exempt Appendix 1 – Grange Farm Business Plan</w:t>
            </w:r>
          </w:p>
          <w:p w14:paraId="129470DC" w14:textId="5E227ABB" w:rsidR="00DA0167" w:rsidRDefault="00DA0167" w:rsidP="003921C4">
            <w:pPr>
              <w:pStyle w:val="Infotext"/>
              <w:rPr>
                <w:rFonts w:cs="Arial"/>
                <w:sz w:val="24"/>
                <w:szCs w:val="24"/>
              </w:rPr>
            </w:pPr>
            <w:r w:rsidRPr="00B87350">
              <w:rPr>
                <w:rFonts w:cs="Arial"/>
                <w:sz w:val="24"/>
                <w:szCs w:val="24"/>
              </w:rPr>
              <w:t>Appendix 2</w:t>
            </w:r>
            <w:r>
              <w:rPr>
                <w:rFonts w:cs="Arial"/>
                <w:sz w:val="24"/>
                <w:szCs w:val="24"/>
              </w:rPr>
              <w:t xml:space="preserve"> – Public </w:t>
            </w:r>
            <w:r w:rsidRPr="00B87350">
              <w:rPr>
                <w:rFonts w:cs="Arial"/>
                <w:sz w:val="24"/>
                <w:szCs w:val="24"/>
              </w:rPr>
              <w:t xml:space="preserve">Grange Farm </w:t>
            </w:r>
            <w:r>
              <w:rPr>
                <w:rFonts w:cs="Arial"/>
                <w:sz w:val="24"/>
                <w:szCs w:val="24"/>
              </w:rPr>
              <w:t>Business Plan</w:t>
            </w:r>
          </w:p>
          <w:p w14:paraId="63BA5FD1" w14:textId="10E20087" w:rsidR="00DA0167" w:rsidRPr="00B87350" w:rsidRDefault="00DA0167" w:rsidP="003921C4">
            <w:pPr>
              <w:pStyle w:val="Infotext"/>
              <w:rPr>
                <w:rFonts w:cs="Arial"/>
                <w:sz w:val="24"/>
                <w:szCs w:val="24"/>
              </w:rPr>
            </w:pPr>
            <w:r>
              <w:rPr>
                <w:rFonts w:cs="Arial"/>
                <w:sz w:val="24"/>
                <w:szCs w:val="24"/>
              </w:rPr>
              <w:lastRenderedPageBreak/>
              <w:t xml:space="preserve">Appendix 3 - </w:t>
            </w:r>
            <w:r w:rsidRPr="00B87350">
              <w:rPr>
                <w:rFonts w:cs="Arial"/>
                <w:sz w:val="24"/>
                <w:szCs w:val="24"/>
              </w:rPr>
              <w:t xml:space="preserve">Best Consideration </w:t>
            </w:r>
            <w:r w:rsidR="00203F8F">
              <w:rPr>
                <w:rFonts w:cs="Arial"/>
                <w:sz w:val="24"/>
                <w:szCs w:val="24"/>
              </w:rPr>
              <w:t>Letter</w:t>
            </w:r>
            <w:r w:rsidRPr="00B87350">
              <w:rPr>
                <w:rFonts w:cs="Arial"/>
                <w:sz w:val="24"/>
                <w:szCs w:val="24"/>
              </w:rPr>
              <w:t xml:space="preserve"> – Avison Young</w:t>
            </w:r>
          </w:p>
          <w:p w14:paraId="7FFAC218" w14:textId="77777777" w:rsidR="00DA0167" w:rsidRDefault="00DA0167" w:rsidP="003921C4">
            <w:pPr>
              <w:pStyle w:val="Infotext"/>
              <w:rPr>
                <w:rFonts w:cs="Arial"/>
                <w:sz w:val="24"/>
                <w:szCs w:val="24"/>
              </w:rPr>
            </w:pPr>
            <w:r w:rsidRPr="00B87350">
              <w:rPr>
                <w:rFonts w:cs="Arial"/>
                <w:sz w:val="24"/>
                <w:szCs w:val="24"/>
              </w:rPr>
              <w:t>Appendix 4 – Equalities Impact Assessment</w:t>
            </w:r>
          </w:p>
          <w:p w14:paraId="6668D730" w14:textId="2B0C380F" w:rsidR="00B76B76" w:rsidRPr="005E3A10" w:rsidRDefault="00B76B76" w:rsidP="003921C4">
            <w:pPr>
              <w:pStyle w:val="Infotext"/>
              <w:rPr>
                <w:color w:val="FF0000"/>
                <w:sz w:val="24"/>
                <w:szCs w:val="24"/>
              </w:rPr>
            </w:pPr>
          </w:p>
        </w:tc>
      </w:tr>
    </w:tbl>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05"/>
      </w:tblGrid>
      <w:tr w:rsidR="00333FAA" w14:paraId="39320826" w14:textId="77777777" w:rsidTr="003921C4">
        <w:trPr>
          <w:tblHeader/>
        </w:trPr>
        <w:tc>
          <w:tcPr>
            <w:tcW w:w="8505" w:type="dxa"/>
            <w:tcBorders>
              <w:top w:val="nil"/>
              <w:left w:val="nil"/>
              <w:right w:val="nil"/>
            </w:tcBorders>
          </w:tcPr>
          <w:p w14:paraId="3A67BFB3" w14:textId="7099E40F" w:rsidR="00333FAA" w:rsidRDefault="003921C4" w:rsidP="00605A4C">
            <w:pPr>
              <w:pStyle w:val="Heading2"/>
              <w:spacing w:after="240"/>
            </w:pPr>
            <w:r>
              <w:lastRenderedPageBreak/>
              <w:br w:type="textWrapping" w:clear="all"/>
            </w:r>
            <w:r w:rsidR="00333FAA">
              <w:t>Section 1 – Summary and Recommendations</w:t>
            </w:r>
          </w:p>
        </w:tc>
      </w:tr>
      <w:tr w:rsidR="00333FAA" w14:paraId="5D78E563" w14:textId="77777777" w:rsidTr="003921C4">
        <w:trPr>
          <w:tblHeader/>
        </w:trPr>
        <w:tc>
          <w:tcPr>
            <w:tcW w:w="8505" w:type="dxa"/>
          </w:tcPr>
          <w:p w14:paraId="4F6F76A4" w14:textId="507D4D52" w:rsidR="001C7E35" w:rsidRDefault="0046257B" w:rsidP="00605A4C">
            <w:pPr>
              <w:rPr>
                <w:color w:val="0000FF"/>
              </w:rPr>
            </w:pPr>
            <w:r>
              <w:t xml:space="preserve">This report updates Cabinet on the review of the sites in the Harrow Strategic Development Partnership </w:t>
            </w:r>
            <w:r w:rsidR="007B0FEA">
              <w:t xml:space="preserve">(HSDP) </w:t>
            </w:r>
            <w:r>
              <w:t xml:space="preserve">and sets out the </w:t>
            </w:r>
            <w:r w:rsidR="00F06888">
              <w:t xml:space="preserve">direction of travel </w:t>
            </w:r>
            <w:r w:rsidR="00004F69">
              <w:t xml:space="preserve">and </w:t>
            </w:r>
            <w:r>
              <w:t xml:space="preserve">next steps. It also seeks the approval of the initial Business Plan for Grange Farm and </w:t>
            </w:r>
            <w:r w:rsidR="007B0FEA">
              <w:t>its incorporation into the HSDP</w:t>
            </w:r>
          </w:p>
          <w:p w14:paraId="02274D72" w14:textId="63EBE580" w:rsidR="001C7E35" w:rsidRDefault="00605A4C" w:rsidP="00E13BEF">
            <w:pPr>
              <w:pStyle w:val="Heading3"/>
              <w:spacing w:before="240"/>
            </w:pPr>
            <w:r>
              <w:t>Recommen</w:t>
            </w:r>
            <w:r w:rsidR="001C7E35" w:rsidRPr="00605A4C">
              <w:t xml:space="preserve">dations: </w:t>
            </w:r>
          </w:p>
          <w:p w14:paraId="6BD04207" w14:textId="77777777" w:rsidR="000F25A2" w:rsidRPr="000F25A2" w:rsidRDefault="000F25A2" w:rsidP="00B4433B"/>
          <w:p w14:paraId="3BA0FC85" w14:textId="7698EDE8" w:rsidR="000F25A2" w:rsidRPr="000F25A2" w:rsidRDefault="000F25A2" w:rsidP="00B4433B">
            <w:r>
              <w:t>Cabinet is requested to:</w:t>
            </w:r>
          </w:p>
          <w:p w14:paraId="791C1A05" w14:textId="461F232F" w:rsidR="00B564CC" w:rsidRDefault="00B564CC" w:rsidP="00B564CC"/>
          <w:p w14:paraId="0C887D53" w14:textId="453C2F2D" w:rsidR="00B564CC" w:rsidRDefault="003921C4" w:rsidP="00B564CC">
            <w:pPr>
              <w:pStyle w:val="ListParagraph"/>
              <w:numPr>
                <w:ilvl w:val="0"/>
                <w:numId w:val="4"/>
              </w:numPr>
            </w:pPr>
            <w:r>
              <w:t>N</w:t>
            </w:r>
            <w:r w:rsidR="00B564CC">
              <w:t>ote the outcome of the review of the HSDP sites</w:t>
            </w:r>
            <w:r>
              <w:t>.</w:t>
            </w:r>
          </w:p>
          <w:p w14:paraId="6B3C7F70" w14:textId="65D77F1A" w:rsidR="00B564CC" w:rsidRDefault="003921C4" w:rsidP="00B564CC">
            <w:pPr>
              <w:pStyle w:val="ListParagraph"/>
              <w:numPr>
                <w:ilvl w:val="0"/>
                <w:numId w:val="4"/>
              </w:numPr>
            </w:pPr>
            <w:r>
              <w:t>A</w:t>
            </w:r>
            <w:r w:rsidR="00B564CC">
              <w:t>uthorise and agree to receive further reports on the phase Business Plans for each scheme</w:t>
            </w:r>
            <w:r>
              <w:t>.</w:t>
            </w:r>
            <w:r w:rsidR="00B564CC">
              <w:t xml:space="preserve"> </w:t>
            </w:r>
          </w:p>
          <w:p w14:paraId="0AF1E4ED" w14:textId="6D0EEB96" w:rsidR="00B564CC" w:rsidRDefault="003921C4" w:rsidP="00B564CC">
            <w:pPr>
              <w:pStyle w:val="ListParagraph"/>
              <w:numPr>
                <w:ilvl w:val="0"/>
                <w:numId w:val="4"/>
              </w:numPr>
            </w:pPr>
            <w:r>
              <w:t>A</w:t>
            </w:r>
            <w:r w:rsidR="00B564CC" w:rsidRPr="00A17DCD">
              <w:t>pprove Greenhill Way as the preferred location for</w:t>
            </w:r>
            <w:r w:rsidR="00B564CC">
              <w:t xml:space="preserve"> the Town Hall</w:t>
            </w:r>
            <w:r>
              <w:t>.</w:t>
            </w:r>
            <w:r w:rsidR="00B564CC">
              <w:t xml:space="preserve"> </w:t>
            </w:r>
          </w:p>
          <w:p w14:paraId="7CE807AC" w14:textId="7D16638A" w:rsidR="00B564CC" w:rsidRDefault="003921C4" w:rsidP="00B564CC">
            <w:pPr>
              <w:pStyle w:val="ListParagraph"/>
              <w:numPr>
                <w:ilvl w:val="0"/>
                <w:numId w:val="4"/>
              </w:numPr>
            </w:pPr>
            <w:r>
              <w:t>A</w:t>
            </w:r>
            <w:r w:rsidR="00B564CC">
              <w:t>pprove the initial Business Plan for Grange Farm (Phase 2)</w:t>
            </w:r>
            <w:r>
              <w:t>.</w:t>
            </w:r>
          </w:p>
          <w:p w14:paraId="6C7B5ECC" w14:textId="3009A547" w:rsidR="00B564CC" w:rsidRDefault="003921C4" w:rsidP="00B564CC">
            <w:pPr>
              <w:pStyle w:val="ListParagraph"/>
              <w:numPr>
                <w:ilvl w:val="0"/>
                <w:numId w:val="4"/>
              </w:numPr>
            </w:pPr>
            <w:r>
              <w:t>A</w:t>
            </w:r>
            <w:r w:rsidR="00B564CC">
              <w:t>gree to incorporate the Grange Farm scheme into the HSDP and the development of a planning application for Phases 2 and 3.</w:t>
            </w:r>
          </w:p>
          <w:p w14:paraId="53F0A820" w14:textId="77777777" w:rsidR="00B564CC" w:rsidRDefault="00B564CC" w:rsidP="00B564CC">
            <w:pPr>
              <w:pStyle w:val="ListParagraph"/>
              <w:numPr>
                <w:ilvl w:val="0"/>
                <w:numId w:val="4"/>
              </w:numPr>
            </w:pPr>
            <w:r>
              <w:t xml:space="preserve">Confirm the </w:t>
            </w:r>
            <w:r w:rsidRPr="00637BB4">
              <w:t xml:space="preserve">decision to revise the </w:t>
            </w:r>
            <w:r>
              <w:t>HSDP s</w:t>
            </w:r>
            <w:r w:rsidRPr="00637BB4">
              <w:t>chemes and</w:t>
            </w:r>
            <w:r>
              <w:t xml:space="preserve"> authorise officers </w:t>
            </w:r>
            <w:r w:rsidRPr="00637BB4">
              <w:t xml:space="preserve">to </w:t>
            </w:r>
            <w:r>
              <w:t xml:space="preserve">commission appropriate professional services and to </w:t>
            </w:r>
            <w:r w:rsidRPr="00637BB4">
              <w:t xml:space="preserve">carry out </w:t>
            </w:r>
            <w:r>
              <w:t xml:space="preserve">preparatory and </w:t>
            </w:r>
            <w:r w:rsidRPr="00637BB4">
              <w:t>enabling works</w:t>
            </w:r>
            <w:r>
              <w:t xml:space="preserve"> as appropriate</w:t>
            </w:r>
          </w:p>
          <w:p w14:paraId="3395952C" w14:textId="77777777" w:rsidR="00B564CC" w:rsidRPr="00B564CC" w:rsidRDefault="00B564CC" w:rsidP="00B4433B"/>
          <w:p w14:paraId="313BC81E" w14:textId="61640B3B" w:rsidR="00333FAA" w:rsidRPr="00F65A6B" w:rsidRDefault="00E13BEF" w:rsidP="00726017">
            <w:pPr>
              <w:pStyle w:val="Heading3"/>
              <w:ind w:left="0" w:firstLine="0"/>
              <w:jc w:val="left"/>
              <w:rPr>
                <w:sz w:val="24"/>
                <w:szCs w:val="24"/>
              </w:rPr>
            </w:pPr>
            <w:r w:rsidRPr="00F65A6B">
              <w:rPr>
                <w:sz w:val="24"/>
                <w:szCs w:val="24"/>
              </w:rPr>
              <w:t>Reason: (f</w:t>
            </w:r>
            <w:r w:rsidR="001C7E35" w:rsidRPr="00F65A6B">
              <w:rPr>
                <w:sz w:val="24"/>
                <w:szCs w:val="24"/>
              </w:rPr>
              <w:t>or recommendation</w:t>
            </w:r>
            <w:r w:rsidR="00714BEE" w:rsidRPr="00F65A6B">
              <w:rPr>
                <w:sz w:val="24"/>
                <w:szCs w:val="24"/>
              </w:rPr>
              <w:t>s</w:t>
            </w:r>
            <w:r w:rsidR="001C7E35" w:rsidRPr="00F65A6B">
              <w:rPr>
                <w:sz w:val="24"/>
                <w:szCs w:val="24"/>
              </w:rPr>
              <w:t>)</w:t>
            </w:r>
            <w:r w:rsidR="00F91AE4" w:rsidRPr="00F65A6B">
              <w:rPr>
                <w:sz w:val="24"/>
                <w:szCs w:val="24"/>
              </w:rPr>
              <w:t xml:space="preserve"> </w:t>
            </w:r>
            <w:r w:rsidR="00D3582B" w:rsidRPr="00F65A6B">
              <w:rPr>
                <w:b w:val="0"/>
                <w:bCs w:val="0"/>
                <w:sz w:val="24"/>
                <w:szCs w:val="24"/>
              </w:rPr>
              <w:t>For Cabinet</w:t>
            </w:r>
            <w:r w:rsidR="00D3582B" w:rsidRPr="00F65A6B">
              <w:rPr>
                <w:sz w:val="24"/>
                <w:szCs w:val="24"/>
              </w:rPr>
              <w:t xml:space="preserve"> </w:t>
            </w:r>
            <w:r w:rsidR="00D3582B" w:rsidRPr="00F65A6B">
              <w:rPr>
                <w:b w:val="0"/>
                <w:bCs w:val="0"/>
                <w:sz w:val="24"/>
                <w:szCs w:val="24"/>
              </w:rPr>
              <w:t>to understand the</w:t>
            </w:r>
            <w:r w:rsidR="00D3582B" w:rsidRPr="00F65A6B">
              <w:rPr>
                <w:sz w:val="24"/>
                <w:szCs w:val="24"/>
              </w:rPr>
              <w:t xml:space="preserve"> </w:t>
            </w:r>
            <w:r w:rsidR="007D7616" w:rsidRPr="00F65A6B">
              <w:rPr>
                <w:b w:val="0"/>
                <w:bCs w:val="0"/>
                <w:sz w:val="24"/>
                <w:szCs w:val="24"/>
              </w:rPr>
              <w:t>outcomes of the review of the HSDP sites</w:t>
            </w:r>
            <w:r w:rsidR="00584832" w:rsidRPr="00F65A6B">
              <w:rPr>
                <w:b w:val="0"/>
                <w:bCs w:val="0"/>
                <w:sz w:val="24"/>
                <w:szCs w:val="24"/>
              </w:rPr>
              <w:t xml:space="preserve">, authorise preparation of business plans for the revised </w:t>
            </w:r>
            <w:r w:rsidR="004178E4" w:rsidRPr="00F65A6B">
              <w:rPr>
                <w:b w:val="0"/>
                <w:bCs w:val="0"/>
                <w:sz w:val="24"/>
                <w:szCs w:val="24"/>
              </w:rPr>
              <w:t>schemes, to</w:t>
            </w:r>
            <w:r w:rsidR="00584832" w:rsidRPr="00F65A6B">
              <w:rPr>
                <w:b w:val="0"/>
                <w:bCs w:val="0"/>
                <w:sz w:val="24"/>
                <w:szCs w:val="24"/>
              </w:rPr>
              <w:t xml:space="preserve"> allow further works required to provide a new Town Hall to be carried out</w:t>
            </w:r>
            <w:r w:rsidR="00D31792" w:rsidRPr="00F65A6B">
              <w:rPr>
                <w:b w:val="0"/>
                <w:bCs w:val="0"/>
                <w:sz w:val="24"/>
                <w:szCs w:val="24"/>
              </w:rPr>
              <w:t xml:space="preserve"> and to agree the business plan and way forward </w:t>
            </w:r>
            <w:r w:rsidR="00A56559" w:rsidRPr="00F65A6B">
              <w:rPr>
                <w:b w:val="0"/>
                <w:bCs w:val="0"/>
                <w:sz w:val="24"/>
                <w:szCs w:val="24"/>
              </w:rPr>
              <w:t>for Grange Farm in order that high quality new housing can be developed for the Council’s tenants and residents.</w:t>
            </w:r>
          </w:p>
        </w:tc>
      </w:tr>
    </w:tbl>
    <w:p w14:paraId="0204F38A" w14:textId="77777777" w:rsidR="00333FAA" w:rsidRDefault="00333FAA" w:rsidP="00F06E4E">
      <w:pPr>
        <w:pStyle w:val="Heading2"/>
        <w:spacing w:before="480"/>
      </w:pPr>
      <w:r>
        <w:t>Section 2 – Report</w:t>
      </w:r>
    </w:p>
    <w:p w14:paraId="76168D48" w14:textId="6A598E24" w:rsidR="001C7E35" w:rsidRPr="00B932BD" w:rsidRDefault="00B932BD" w:rsidP="00F06E4E">
      <w:pPr>
        <w:pStyle w:val="Heading3"/>
        <w:spacing w:before="240"/>
        <w:rPr>
          <w:rFonts w:ascii="Arial Black" w:hAnsi="Arial Black"/>
          <w:sz w:val="24"/>
          <w:szCs w:val="24"/>
        </w:rPr>
      </w:pPr>
      <w:r w:rsidRPr="00B932BD">
        <w:rPr>
          <w:rFonts w:ascii="Arial Black" w:hAnsi="Arial Black"/>
          <w:sz w:val="24"/>
          <w:szCs w:val="24"/>
        </w:rPr>
        <w:t xml:space="preserve">2. </w:t>
      </w:r>
      <w:r w:rsidR="001C7E35" w:rsidRPr="00B932BD">
        <w:rPr>
          <w:rFonts w:ascii="Arial Black" w:hAnsi="Arial Black"/>
          <w:sz w:val="24"/>
          <w:szCs w:val="24"/>
        </w:rPr>
        <w:t>Introductory paragraph</w:t>
      </w:r>
    </w:p>
    <w:p w14:paraId="6EDBD2C5" w14:textId="77777777" w:rsidR="00B3593B" w:rsidRPr="005D1F2B" w:rsidRDefault="002438E1" w:rsidP="001C7E35">
      <w:pPr>
        <w:rPr>
          <w:szCs w:val="24"/>
        </w:rPr>
      </w:pPr>
      <w:r w:rsidRPr="005D1F2B">
        <w:rPr>
          <w:szCs w:val="24"/>
        </w:rPr>
        <w:t xml:space="preserve">The HSDP was established in August 2021 following a procurement process under the Public Contracts </w:t>
      </w:r>
      <w:r w:rsidR="00316B73" w:rsidRPr="005D1F2B">
        <w:rPr>
          <w:szCs w:val="24"/>
        </w:rPr>
        <w:t xml:space="preserve">Regulations 2015 from which Wates Residential </w:t>
      </w:r>
      <w:r w:rsidR="00432A4B" w:rsidRPr="005D1F2B">
        <w:rPr>
          <w:szCs w:val="24"/>
        </w:rPr>
        <w:t>emerged as the Council’s partner.</w:t>
      </w:r>
    </w:p>
    <w:p w14:paraId="493F29DE" w14:textId="77777777" w:rsidR="00B3593B" w:rsidRPr="005D1F2B" w:rsidRDefault="00B3593B" w:rsidP="001C7E35">
      <w:pPr>
        <w:rPr>
          <w:szCs w:val="24"/>
        </w:rPr>
      </w:pPr>
    </w:p>
    <w:p w14:paraId="0E24ED86" w14:textId="6A7916CD" w:rsidR="00612856" w:rsidRDefault="00B3593B" w:rsidP="001C7E35">
      <w:r w:rsidRPr="005D1F2B">
        <w:rPr>
          <w:szCs w:val="24"/>
        </w:rPr>
        <w:t xml:space="preserve">Following the set </w:t>
      </w:r>
      <w:r w:rsidR="008644EA" w:rsidRPr="005D1F2B">
        <w:rPr>
          <w:szCs w:val="24"/>
        </w:rPr>
        <w:t>-</w:t>
      </w:r>
      <w:r w:rsidRPr="005D1F2B">
        <w:rPr>
          <w:szCs w:val="24"/>
        </w:rPr>
        <w:t>up of the partnership</w:t>
      </w:r>
      <w:r w:rsidR="00D83BE4" w:rsidRPr="005D1F2B">
        <w:rPr>
          <w:szCs w:val="24"/>
        </w:rPr>
        <w:t>,</w:t>
      </w:r>
      <w:r w:rsidRPr="005D1F2B">
        <w:rPr>
          <w:szCs w:val="24"/>
        </w:rPr>
        <w:t xml:space="preserve"> progress</w:t>
      </w:r>
      <w:r w:rsidR="003E64D7" w:rsidRPr="005D1F2B">
        <w:rPr>
          <w:szCs w:val="24"/>
        </w:rPr>
        <w:t xml:space="preserve"> was made on </w:t>
      </w:r>
      <w:r w:rsidR="00521D01" w:rsidRPr="005D1F2B">
        <w:rPr>
          <w:szCs w:val="24"/>
        </w:rPr>
        <w:t xml:space="preserve">the </w:t>
      </w:r>
      <w:r w:rsidR="0049391E" w:rsidRPr="005D1F2B">
        <w:rPr>
          <w:szCs w:val="24"/>
        </w:rPr>
        <w:t>d</w:t>
      </w:r>
      <w:r w:rsidR="00521D01" w:rsidRPr="005D1F2B">
        <w:rPr>
          <w:szCs w:val="24"/>
        </w:rPr>
        <w:t xml:space="preserve">evelopment of the schemes and the </w:t>
      </w:r>
      <w:r w:rsidR="0084508B" w:rsidRPr="005D1F2B">
        <w:rPr>
          <w:szCs w:val="24"/>
        </w:rPr>
        <w:t>production of detailed Business Plans</w:t>
      </w:r>
      <w:r w:rsidR="00907FCA" w:rsidRPr="005D1F2B">
        <w:rPr>
          <w:szCs w:val="24"/>
        </w:rPr>
        <w:t>. A</w:t>
      </w:r>
      <w:r w:rsidR="00907FCA">
        <w:t xml:space="preserve"> report to Cabinet in March 2022 advised of progress and </w:t>
      </w:r>
      <w:r w:rsidR="00EE01EA">
        <w:t>set out the challen</w:t>
      </w:r>
      <w:r w:rsidR="00301F7A">
        <w:t xml:space="preserve">ges that the partnership was currently facing, particularly in terms of viability </w:t>
      </w:r>
      <w:r w:rsidR="00754B4D">
        <w:t xml:space="preserve">as a result of the ongoing </w:t>
      </w:r>
      <w:r w:rsidR="00B50FA3">
        <w:t>impact</w:t>
      </w:r>
      <w:r w:rsidR="00754B4D">
        <w:t xml:space="preserve"> of build cost inflation.</w:t>
      </w:r>
    </w:p>
    <w:p w14:paraId="6FAA5247" w14:textId="74236274" w:rsidR="0049391E" w:rsidRDefault="0049391E" w:rsidP="001C7E35"/>
    <w:p w14:paraId="63C359DF" w14:textId="55E9E243" w:rsidR="0049391E" w:rsidRDefault="0049391E" w:rsidP="0049391E">
      <w:r>
        <w:t xml:space="preserve">A report on the options for the delivery of phases 2 and 3 of the Grange Farm estate regeneration scheme was considered by Cabinet in November 2021. </w:t>
      </w:r>
      <w:r>
        <w:lastRenderedPageBreak/>
        <w:t xml:space="preserve">As a result of that report, the HSDP was </w:t>
      </w:r>
      <w:r w:rsidR="002C25C7">
        <w:t>requested</w:t>
      </w:r>
      <w:r w:rsidR="00627847">
        <w:t xml:space="preserve"> </w:t>
      </w:r>
      <w:r>
        <w:t>to produce a Business Plan</w:t>
      </w:r>
      <w:r w:rsidRPr="00FF536B">
        <w:t xml:space="preserve"> to incorporate the Grange Farm scheme into the HSDP</w:t>
      </w:r>
      <w:r>
        <w:t>.</w:t>
      </w:r>
    </w:p>
    <w:p w14:paraId="0999CFE7" w14:textId="5933EE88" w:rsidR="00181C2F" w:rsidRPr="00B932BD" w:rsidRDefault="00B932BD" w:rsidP="00A1211C">
      <w:pPr>
        <w:pStyle w:val="Heading3"/>
        <w:spacing w:before="240"/>
        <w:ind w:left="0" w:firstLine="0"/>
        <w:jc w:val="left"/>
        <w:rPr>
          <w:rFonts w:ascii="Arial Black" w:hAnsi="Arial Black"/>
          <w:sz w:val="24"/>
          <w:szCs w:val="24"/>
        </w:rPr>
      </w:pPr>
      <w:r w:rsidRPr="00B932BD">
        <w:rPr>
          <w:rFonts w:ascii="Arial Black" w:hAnsi="Arial Black"/>
          <w:sz w:val="24"/>
          <w:szCs w:val="24"/>
        </w:rPr>
        <w:t xml:space="preserve">2.1 </w:t>
      </w:r>
      <w:r w:rsidR="001C7E35" w:rsidRPr="00B932BD">
        <w:rPr>
          <w:rFonts w:ascii="Arial Black" w:hAnsi="Arial Black"/>
          <w:sz w:val="24"/>
          <w:szCs w:val="24"/>
        </w:rPr>
        <w:t xml:space="preserve">Options considered </w:t>
      </w:r>
    </w:p>
    <w:p w14:paraId="0A078380" w14:textId="5F90DD3F" w:rsidR="00AD1E77" w:rsidRPr="00830CFE" w:rsidRDefault="00C27128" w:rsidP="00A1211C">
      <w:pPr>
        <w:pStyle w:val="Heading3"/>
        <w:spacing w:before="240"/>
        <w:ind w:left="0" w:firstLine="0"/>
        <w:jc w:val="left"/>
        <w:rPr>
          <w:b w:val="0"/>
          <w:bCs w:val="0"/>
          <w:sz w:val="24"/>
          <w:szCs w:val="24"/>
        </w:rPr>
      </w:pPr>
      <w:r w:rsidRPr="00830CFE">
        <w:rPr>
          <w:b w:val="0"/>
          <w:bCs w:val="0"/>
          <w:sz w:val="24"/>
          <w:szCs w:val="24"/>
        </w:rPr>
        <w:t>For the HSDP sites as a whole</w:t>
      </w:r>
      <w:r w:rsidR="001C7E35" w:rsidRPr="00830CFE">
        <w:rPr>
          <w:sz w:val="24"/>
          <w:szCs w:val="24"/>
        </w:rPr>
        <w:t xml:space="preserve"> </w:t>
      </w:r>
      <w:r w:rsidRPr="00830CFE">
        <w:rPr>
          <w:b w:val="0"/>
          <w:bCs w:val="0"/>
          <w:sz w:val="24"/>
          <w:szCs w:val="24"/>
        </w:rPr>
        <w:t xml:space="preserve">the review has considered a wide range of options </w:t>
      </w:r>
      <w:r w:rsidR="008865B3" w:rsidRPr="00830CFE">
        <w:rPr>
          <w:b w:val="0"/>
          <w:bCs w:val="0"/>
          <w:sz w:val="24"/>
          <w:szCs w:val="24"/>
        </w:rPr>
        <w:t xml:space="preserve">including do nothing. This last option would not meet the Council’s objectives of providing much needed </w:t>
      </w:r>
      <w:r w:rsidR="004513A2" w:rsidRPr="00830CFE">
        <w:rPr>
          <w:b w:val="0"/>
          <w:bCs w:val="0"/>
          <w:sz w:val="24"/>
          <w:szCs w:val="24"/>
        </w:rPr>
        <w:t xml:space="preserve">housing including </w:t>
      </w:r>
      <w:r w:rsidR="008865B3" w:rsidRPr="00830CFE">
        <w:rPr>
          <w:b w:val="0"/>
          <w:bCs w:val="0"/>
          <w:sz w:val="24"/>
          <w:szCs w:val="24"/>
        </w:rPr>
        <w:t>affordable housing for its residents</w:t>
      </w:r>
      <w:r w:rsidR="004513A2" w:rsidRPr="00830CFE">
        <w:rPr>
          <w:b w:val="0"/>
          <w:bCs w:val="0"/>
          <w:sz w:val="24"/>
          <w:szCs w:val="24"/>
        </w:rPr>
        <w:t xml:space="preserve"> and would leave the sites undeveloped and </w:t>
      </w:r>
      <w:r w:rsidR="00CB68EA" w:rsidRPr="00830CFE">
        <w:rPr>
          <w:b w:val="0"/>
          <w:bCs w:val="0"/>
          <w:sz w:val="24"/>
          <w:szCs w:val="24"/>
        </w:rPr>
        <w:t>of limited value.</w:t>
      </w:r>
    </w:p>
    <w:p w14:paraId="6B2A198A" w14:textId="4922AD28" w:rsidR="00CB68EA" w:rsidRPr="00830CFE" w:rsidRDefault="00CB68EA" w:rsidP="00CB68EA">
      <w:pPr>
        <w:rPr>
          <w:szCs w:val="24"/>
        </w:rPr>
      </w:pPr>
    </w:p>
    <w:p w14:paraId="5259B245" w14:textId="4A941947" w:rsidR="00CB68EA" w:rsidRPr="00830CFE" w:rsidRDefault="00CB68EA" w:rsidP="00CB68EA">
      <w:pPr>
        <w:rPr>
          <w:szCs w:val="24"/>
        </w:rPr>
      </w:pPr>
      <w:r w:rsidRPr="00830CFE">
        <w:rPr>
          <w:szCs w:val="24"/>
        </w:rPr>
        <w:t>T</w:t>
      </w:r>
      <w:r w:rsidR="00143C57" w:rsidRPr="00830CFE">
        <w:rPr>
          <w:szCs w:val="24"/>
        </w:rPr>
        <w:t>h</w:t>
      </w:r>
      <w:r w:rsidR="00862BCC" w:rsidRPr="00830CFE">
        <w:rPr>
          <w:szCs w:val="24"/>
        </w:rPr>
        <w:t xml:space="preserve">e options selected will, subject to further business planning, </w:t>
      </w:r>
      <w:r w:rsidR="00143C57" w:rsidRPr="00830CFE">
        <w:rPr>
          <w:szCs w:val="24"/>
        </w:rPr>
        <w:t>be the most deliverable, viable and acceptable solutions.</w:t>
      </w:r>
    </w:p>
    <w:p w14:paraId="2E9AA152" w14:textId="7D2B892C" w:rsidR="00143C57" w:rsidRPr="00830CFE" w:rsidRDefault="00143C57" w:rsidP="00CB68EA">
      <w:pPr>
        <w:rPr>
          <w:szCs w:val="24"/>
        </w:rPr>
      </w:pPr>
    </w:p>
    <w:p w14:paraId="0A3A5AA5" w14:textId="624F3F9F" w:rsidR="00143C57" w:rsidRPr="00830CFE" w:rsidRDefault="00143C57" w:rsidP="00CB68EA">
      <w:pPr>
        <w:rPr>
          <w:szCs w:val="24"/>
        </w:rPr>
      </w:pPr>
      <w:r w:rsidRPr="00830CFE">
        <w:rPr>
          <w:szCs w:val="24"/>
        </w:rPr>
        <w:t>For Grange Farm</w:t>
      </w:r>
      <w:r w:rsidR="000C1B3E" w:rsidRPr="00830CFE">
        <w:rPr>
          <w:szCs w:val="24"/>
        </w:rPr>
        <w:t xml:space="preserve"> there were three key options at this stage:</w:t>
      </w:r>
    </w:p>
    <w:p w14:paraId="15489C4B" w14:textId="1DA0A172" w:rsidR="000C1B3E" w:rsidRPr="00830CFE" w:rsidRDefault="000C1B3E" w:rsidP="00CB68EA">
      <w:pPr>
        <w:rPr>
          <w:szCs w:val="24"/>
        </w:rPr>
      </w:pPr>
    </w:p>
    <w:p w14:paraId="365E4EBB" w14:textId="560FB8E3" w:rsidR="000C1B3E" w:rsidRPr="00830CFE" w:rsidRDefault="000C1B3E" w:rsidP="00CB68EA">
      <w:pPr>
        <w:rPr>
          <w:szCs w:val="24"/>
        </w:rPr>
      </w:pPr>
      <w:r w:rsidRPr="00830CFE">
        <w:rPr>
          <w:szCs w:val="24"/>
        </w:rPr>
        <w:t>Do nothing</w:t>
      </w:r>
      <w:r w:rsidR="00860E9E" w:rsidRPr="00830CFE">
        <w:rPr>
          <w:szCs w:val="24"/>
        </w:rPr>
        <w:t xml:space="preserve"> – This would not be acceptable given the need to </w:t>
      </w:r>
      <w:r w:rsidR="00F00E36" w:rsidRPr="00830CFE">
        <w:rPr>
          <w:szCs w:val="24"/>
        </w:rPr>
        <w:t>replace</w:t>
      </w:r>
      <w:r w:rsidR="00860E9E" w:rsidRPr="00830CFE">
        <w:rPr>
          <w:szCs w:val="24"/>
        </w:rPr>
        <w:t xml:space="preserve"> the existing housing and the advanced consultation with residents</w:t>
      </w:r>
    </w:p>
    <w:p w14:paraId="06B482EC" w14:textId="560F3C13" w:rsidR="00860E9E" w:rsidRPr="00830CFE" w:rsidRDefault="00860E9E" w:rsidP="00CB68EA">
      <w:pPr>
        <w:rPr>
          <w:szCs w:val="24"/>
        </w:rPr>
      </w:pPr>
    </w:p>
    <w:p w14:paraId="2180826A" w14:textId="49EBD6E5" w:rsidR="00860E9E" w:rsidRPr="00830CFE" w:rsidRDefault="00860E9E" w:rsidP="00CB68EA">
      <w:pPr>
        <w:rPr>
          <w:szCs w:val="24"/>
        </w:rPr>
      </w:pPr>
      <w:r w:rsidRPr="00830CFE">
        <w:rPr>
          <w:szCs w:val="24"/>
        </w:rPr>
        <w:t>Build out the originally consented scheme</w:t>
      </w:r>
      <w:r w:rsidR="00500379" w:rsidRPr="00830CFE">
        <w:rPr>
          <w:szCs w:val="24"/>
        </w:rPr>
        <w:t xml:space="preserve"> – for reasons set out in the report this is no longer the optimum scheme and would not be viable.</w:t>
      </w:r>
    </w:p>
    <w:p w14:paraId="779FDEFD" w14:textId="4B3A7AE8" w:rsidR="00500379" w:rsidRPr="00830CFE" w:rsidRDefault="00500379" w:rsidP="00CB68EA">
      <w:pPr>
        <w:rPr>
          <w:szCs w:val="24"/>
        </w:rPr>
      </w:pPr>
    </w:p>
    <w:p w14:paraId="1D89FECF" w14:textId="260D47E8" w:rsidR="00500379" w:rsidRDefault="00500379" w:rsidP="00CB68EA">
      <w:pPr>
        <w:rPr>
          <w:szCs w:val="24"/>
        </w:rPr>
      </w:pPr>
      <w:r w:rsidRPr="00830CFE">
        <w:rPr>
          <w:szCs w:val="24"/>
        </w:rPr>
        <w:t xml:space="preserve">Seek planning permission and look to develop </w:t>
      </w:r>
      <w:r w:rsidR="00CF7212" w:rsidRPr="00830CFE">
        <w:rPr>
          <w:szCs w:val="24"/>
        </w:rPr>
        <w:t>a scheme for phase 2 based on the parameters set out in the report.</w:t>
      </w:r>
    </w:p>
    <w:p w14:paraId="5D089B1E" w14:textId="1DBF8581" w:rsidR="00333FAA" w:rsidRPr="00B932BD" w:rsidRDefault="00B932BD" w:rsidP="001472A8">
      <w:pPr>
        <w:pStyle w:val="Heading2"/>
        <w:spacing w:before="240"/>
        <w:rPr>
          <w:sz w:val="24"/>
          <w:szCs w:val="24"/>
        </w:rPr>
      </w:pPr>
      <w:r w:rsidRPr="00B932BD">
        <w:rPr>
          <w:sz w:val="24"/>
          <w:szCs w:val="24"/>
        </w:rPr>
        <w:t xml:space="preserve">2.2 </w:t>
      </w:r>
      <w:r w:rsidR="00333FAA" w:rsidRPr="00B932BD">
        <w:rPr>
          <w:sz w:val="24"/>
          <w:szCs w:val="24"/>
        </w:rPr>
        <w:t xml:space="preserve">Background </w:t>
      </w:r>
    </w:p>
    <w:p w14:paraId="5222D521" w14:textId="1D57476E" w:rsidR="00955F89" w:rsidRPr="00830CFE" w:rsidRDefault="00955F89" w:rsidP="00955F89">
      <w:pPr>
        <w:rPr>
          <w:szCs w:val="24"/>
        </w:rPr>
      </w:pPr>
    </w:p>
    <w:p w14:paraId="0AB67E3E" w14:textId="5EF5A1A9" w:rsidR="00994A23" w:rsidRPr="00830CFE" w:rsidRDefault="00955F89" w:rsidP="00994A23">
      <w:pPr>
        <w:rPr>
          <w:szCs w:val="24"/>
        </w:rPr>
      </w:pPr>
      <w:r w:rsidRPr="00830CFE">
        <w:rPr>
          <w:szCs w:val="24"/>
        </w:rPr>
        <w:t xml:space="preserve">The table below sets out the position </w:t>
      </w:r>
      <w:r w:rsidR="00E81261" w:rsidRPr="00830CFE">
        <w:rPr>
          <w:szCs w:val="24"/>
        </w:rPr>
        <w:t>about</w:t>
      </w:r>
      <w:r w:rsidRPr="00830CFE">
        <w:rPr>
          <w:szCs w:val="24"/>
        </w:rPr>
        <w:t xml:space="preserve"> each </w:t>
      </w:r>
      <w:r w:rsidR="00212A6B" w:rsidRPr="00830CFE">
        <w:rPr>
          <w:szCs w:val="24"/>
        </w:rPr>
        <w:t xml:space="preserve">of the sites </w:t>
      </w:r>
      <w:r w:rsidR="00E81261" w:rsidRPr="00830CFE">
        <w:rPr>
          <w:szCs w:val="24"/>
        </w:rPr>
        <w:t>in</w:t>
      </w:r>
      <w:r w:rsidR="00860ACC" w:rsidRPr="00830CFE">
        <w:rPr>
          <w:szCs w:val="24"/>
        </w:rPr>
        <w:t xml:space="preserve"> April 2022.</w:t>
      </w:r>
    </w:p>
    <w:p w14:paraId="1B721611" w14:textId="71DB349F" w:rsidR="00791B21" w:rsidRPr="00994A23" w:rsidRDefault="00791B21" w:rsidP="00994A23">
      <w:r>
        <w:rPr>
          <w:noProof/>
        </w:rPr>
        <w:drawing>
          <wp:inline distT="0" distB="0" distL="0" distR="0" wp14:anchorId="017EB785" wp14:editId="0FD0B093">
            <wp:extent cx="5276215" cy="2972435"/>
            <wp:effectExtent l="0" t="0" r="63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276215" cy="2972435"/>
                    </a:xfrm>
                    <a:prstGeom prst="rect">
                      <a:avLst/>
                    </a:prstGeom>
                  </pic:spPr>
                </pic:pic>
              </a:graphicData>
            </a:graphic>
          </wp:inline>
        </w:drawing>
      </w:r>
    </w:p>
    <w:p w14:paraId="2E33A591" w14:textId="77777777" w:rsidR="00333FAA" w:rsidRPr="00F06E4E" w:rsidRDefault="00333FAA" w:rsidP="00333FAA">
      <w:pPr>
        <w:rPr>
          <w:rFonts w:cs="Arial"/>
          <w:color w:val="0000FF"/>
          <w:sz w:val="28"/>
          <w:szCs w:val="28"/>
        </w:rPr>
      </w:pPr>
    </w:p>
    <w:p w14:paraId="1842CA71" w14:textId="532C6449" w:rsidR="00333FAA" w:rsidRPr="00CC0320" w:rsidRDefault="00E33506" w:rsidP="00333FAA">
      <w:pPr>
        <w:rPr>
          <w:rFonts w:cs="Arial"/>
          <w:szCs w:val="24"/>
        </w:rPr>
      </w:pPr>
      <w:r w:rsidRPr="00CC0320">
        <w:rPr>
          <w:rFonts w:cs="Arial"/>
          <w:szCs w:val="24"/>
        </w:rPr>
        <w:t>At that time</w:t>
      </w:r>
      <w:r w:rsidR="00F43675" w:rsidRPr="00CC0320">
        <w:rPr>
          <w:rFonts w:cs="Arial"/>
          <w:szCs w:val="24"/>
        </w:rPr>
        <w:t xml:space="preserve"> the challenges of </w:t>
      </w:r>
      <w:r w:rsidR="004B2E6D" w:rsidRPr="00CC0320">
        <w:rPr>
          <w:rFonts w:cs="Arial"/>
          <w:szCs w:val="24"/>
        </w:rPr>
        <w:t>b</w:t>
      </w:r>
      <w:r w:rsidR="00F43675" w:rsidRPr="00CC0320">
        <w:rPr>
          <w:rFonts w:cs="Arial"/>
          <w:szCs w:val="24"/>
        </w:rPr>
        <w:t>uild</w:t>
      </w:r>
      <w:r w:rsidR="004B2E6D" w:rsidRPr="00CC0320">
        <w:rPr>
          <w:rFonts w:cs="Arial"/>
          <w:szCs w:val="24"/>
        </w:rPr>
        <w:t>ing c</w:t>
      </w:r>
      <w:r w:rsidR="00F43675" w:rsidRPr="00CC0320">
        <w:rPr>
          <w:rFonts w:cs="Arial"/>
          <w:szCs w:val="24"/>
        </w:rPr>
        <w:t>ost inflation were already becoming apparent</w:t>
      </w:r>
      <w:r w:rsidR="007754D8" w:rsidRPr="00CC0320">
        <w:rPr>
          <w:rFonts w:cs="Arial"/>
          <w:szCs w:val="24"/>
        </w:rPr>
        <w:t xml:space="preserve">, particularly </w:t>
      </w:r>
      <w:r w:rsidR="00E81261" w:rsidRPr="00CC0320">
        <w:rPr>
          <w:rFonts w:cs="Arial"/>
          <w:szCs w:val="24"/>
        </w:rPr>
        <w:t>about</w:t>
      </w:r>
      <w:r w:rsidR="007754D8" w:rsidRPr="00CC0320">
        <w:rPr>
          <w:rFonts w:cs="Arial"/>
          <w:szCs w:val="24"/>
        </w:rPr>
        <w:t xml:space="preserve"> Byron Quarter</w:t>
      </w:r>
      <w:r w:rsidR="009C3106" w:rsidRPr="00CC0320">
        <w:rPr>
          <w:rFonts w:cs="Arial"/>
          <w:szCs w:val="24"/>
        </w:rPr>
        <w:t xml:space="preserve"> and Peel Road</w:t>
      </w:r>
      <w:r w:rsidR="007754D8" w:rsidRPr="00CC0320">
        <w:rPr>
          <w:rFonts w:cs="Arial"/>
          <w:szCs w:val="24"/>
        </w:rPr>
        <w:t>, although at the time more optimism prevailed with regard to the other sites</w:t>
      </w:r>
      <w:r w:rsidR="00CD3E97" w:rsidRPr="00CC0320">
        <w:rPr>
          <w:rFonts w:cs="Arial"/>
          <w:szCs w:val="24"/>
        </w:rPr>
        <w:t>, in part because of the early stage of design.</w:t>
      </w:r>
    </w:p>
    <w:p w14:paraId="5259D6F6" w14:textId="52F4F786" w:rsidR="000321A5" w:rsidRDefault="000321A5" w:rsidP="00333FAA">
      <w:pPr>
        <w:rPr>
          <w:rFonts w:cs="Arial"/>
          <w:szCs w:val="24"/>
        </w:rPr>
      </w:pPr>
    </w:p>
    <w:p w14:paraId="1AC8A001" w14:textId="77777777" w:rsidR="005877DD" w:rsidRPr="00CC0320" w:rsidRDefault="005877DD" w:rsidP="00333FAA">
      <w:pPr>
        <w:rPr>
          <w:rFonts w:cs="Arial"/>
          <w:szCs w:val="24"/>
        </w:rPr>
      </w:pPr>
    </w:p>
    <w:p w14:paraId="05F73FD9" w14:textId="318CF0E6" w:rsidR="000321A5" w:rsidRPr="00B932BD" w:rsidRDefault="00B932BD" w:rsidP="00333FAA">
      <w:pPr>
        <w:rPr>
          <w:rFonts w:ascii="Arial Black" w:hAnsi="Arial Black" w:cs="Arial"/>
          <w:b/>
          <w:bCs/>
          <w:szCs w:val="24"/>
        </w:rPr>
      </w:pPr>
      <w:r w:rsidRPr="00B932BD">
        <w:rPr>
          <w:rFonts w:ascii="Arial Black" w:hAnsi="Arial Black" w:cs="Arial"/>
          <w:b/>
          <w:bCs/>
          <w:szCs w:val="24"/>
        </w:rPr>
        <w:lastRenderedPageBreak/>
        <w:t xml:space="preserve">2.3 </w:t>
      </w:r>
      <w:r w:rsidR="000321A5" w:rsidRPr="00B932BD">
        <w:rPr>
          <w:rFonts w:ascii="Arial Black" w:hAnsi="Arial Black" w:cs="Arial"/>
          <w:b/>
          <w:bCs/>
          <w:szCs w:val="24"/>
        </w:rPr>
        <w:t>The review of the schemes</w:t>
      </w:r>
    </w:p>
    <w:p w14:paraId="683CE5E4" w14:textId="3FF813F5" w:rsidR="000321A5" w:rsidRPr="00CC0320" w:rsidRDefault="00582967" w:rsidP="00333FAA">
      <w:pPr>
        <w:rPr>
          <w:rFonts w:cs="Arial"/>
          <w:szCs w:val="24"/>
        </w:rPr>
      </w:pPr>
      <w:r w:rsidRPr="00CC0320">
        <w:rPr>
          <w:rFonts w:cs="Arial"/>
          <w:szCs w:val="24"/>
        </w:rPr>
        <w:t xml:space="preserve">Following the election in May 2022 the </w:t>
      </w:r>
      <w:r w:rsidR="00AB7E6E" w:rsidRPr="00CC0320">
        <w:rPr>
          <w:rFonts w:cs="Arial"/>
          <w:szCs w:val="24"/>
        </w:rPr>
        <w:t>HSDP was asked to review all its schemes.</w:t>
      </w:r>
    </w:p>
    <w:p w14:paraId="2B228661" w14:textId="668A120D" w:rsidR="00AB7E6E" w:rsidRPr="00CC0320" w:rsidRDefault="00AB7E6E" w:rsidP="00333FAA">
      <w:pPr>
        <w:rPr>
          <w:rFonts w:cs="Arial"/>
          <w:szCs w:val="24"/>
        </w:rPr>
      </w:pPr>
    </w:p>
    <w:p w14:paraId="59E35C41" w14:textId="50978966" w:rsidR="00AB7E6E" w:rsidRPr="00CC0320" w:rsidRDefault="00AB7E6E" w:rsidP="00333FAA">
      <w:pPr>
        <w:rPr>
          <w:rFonts w:cs="Arial"/>
          <w:szCs w:val="24"/>
        </w:rPr>
      </w:pPr>
      <w:r w:rsidRPr="00CC0320">
        <w:rPr>
          <w:rFonts w:cs="Arial"/>
          <w:szCs w:val="24"/>
        </w:rPr>
        <w:t>The areas for consideration included</w:t>
      </w:r>
      <w:r w:rsidR="00F9287F" w:rsidRPr="00CC0320">
        <w:rPr>
          <w:rFonts w:cs="Arial"/>
          <w:szCs w:val="24"/>
        </w:rPr>
        <w:t>:</w:t>
      </w:r>
    </w:p>
    <w:p w14:paraId="70293120" w14:textId="774E9D3F" w:rsidR="00C7123F" w:rsidRPr="00CC0320" w:rsidRDefault="00C7123F" w:rsidP="00333FAA">
      <w:pPr>
        <w:rPr>
          <w:rFonts w:cs="Arial"/>
          <w:szCs w:val="24"/>
        </w:rPr>
      </w:pPr>
    </w:p>
    <w:p w14:paraId="1DF36736" w14:textId="30764C80" w:rsidR="00C7123F" w:rsidRPr="00CC0320" w:rsidRDefault="00C7123F" w:rsidP="00FC513B">
      <w:pPr>
        <w:pStyle w:val="ListParagraph"/>
        <w:numPr>
          <w:ilvl w:val="0"/>
          <w:numId w:val="2"/>
        </w:numPr>
        <w:rPr>
          <w:rFonts w:cs="Arial"/>
          <w:szCs w:val="24"/>
        </w:rPr>
      </w:pPr>
      <w:r w:rsidRPr="00CC0320">
        <w:rPr>
          <w:rFonts w:cs="Arial"/>
          <w:szCs w:val="24"/>
        </w:rPr>
        <w:t>Height and density</w:t>
      </w:r>
    </w:p>
    <w:p w14:paraId="4561A83C" w14:textId="7D4CCCC5" w:rsidR="00755DDB" w:rsidRPr="00CC0320" w:rsidRDefault="00755DDB" w:rsidP="00FC513B">
      <w:pPr>
        <w:pStyle w:val="ListParagraph"/>
        <w:numPr>
          <w:ilvl w:val="0"/>
          <w:numId w:val="2"/>
        </w:numPr>
        <w:rPr>
          <w:rFonts w:cs="Arial"/>
          <w:szCs w:val="24"/>
        </w:rPr>
      </w:pPr>
      <w:r w:rsidRPr="00CC0320">
        <w:rPr>
          <w:rFonts w:cs="Arial"/>
          <w:szCs w:val="24"/>
        </w:rPr>
        <w:t>Design</w:t>
      </w:r>
    </w:p>
    <w:p w14:paraId="3B2FC8A0" w14:textId="4C3B3376" w:rsidR="00C7123F" w:rsidRPr="00CC0320" w:rsidRDefault="00C7123F" w:rsidP="00FC513B">
      <w:pPr>
        <w:pStyle w:val="ListParagraph"/>
        <w:numPr>
          <w:ilvl w:val="0"/>
          <w:numId w:val="2"/>
        </w:numPr>
        <w:rPr>
          <w:rFonts w:cs="Arial"/>
          <w:szCs w:val="24"/>
        </w:rPr>
      </w:pPr>
      <w:r w:rsidRPr="00CC0320">
        <w:rPr>
          <w:rFonts w:cs="Arial"/>
          <w:szCs w:val="24"/>
        </w:rPr>
        <w:t>Tenure and typology – particularly seeking more houses and family housing where possible</w:t>
      </w:r>
    </w:p>
    <w:p w14:paraId="16320106" w14:textId="03D251FF" w:rsidR="00607337" w:rsidRPr="00CC0320" w:rsidRDefault="00607337" w:rsidP="00FC513B">
      <w:pPr>
        <w:pStyle w:val="ListParagraph"/>
        <w:numPr>
          <w:ilvl w:val="0"/>
          <w:numId w:val="2"/>
        </w:numPr>
        <w:rPr>
          <w:rFonts w:cs="Arial"/>
          <w:szCs w:val="24"/>
        </w:rPr>
      </w:pPr>
      <w:r w:rsidRPr="00CC0320">
        <w:rPr>
          <w:rFonts w:cs="Arial"/>
          <w:szCs w:val="24"/>
        </w:rPr>
        <w:t>Location of the Town Hall</w:t>
      </w:r>
      <w:r w:rsidR="004B2E6D" w:rsidRPr="00CC0320">
        <w:rPr>
          <w:rFonts w:cs="Arial"/>
          <w:szCs w:val="24"/>
        </w:rPr>
        <w:t>,</w:t>
      </w:r>
      <w:r w:rsidRPr="00CC0320">
        <w:rPr>
          <w:rFonts w:cs="Arial"/>
          <w:szCs w:val="24"/>
        </w:rPr>
        <w:t xml:space="preserve"> which was not to be located at Peel Road</w:t>
      </w:r>
      <w:r w:rsidR="000C6F13" w:rsidRPr="00CC0320">
        <w:rPr>
          <w:rFonts w:cs="Arial"/>
          <w:szCs w:val="24"/>
        </w:rPr>
        <w:t>, together with consideration o</w:t>
      </w:r>
      <w:r w:rsidR="00755DDB" w:rsidRPr="00CC0320">
        <w:rPr>
          <w:rFonts w:cs="Arial"/>
          <w:szCs w:val="24"/>
        </w:rPr>
        <w:t>f appropriate sizing</w:t>
      </w:r>
      <w:r w:rsidR="004B2E6D" w:rsidRPr="00CC0320">
        <w:rPr>
          <w:rFonts w:cs="Arial"/>
          <w:szCs w:val="24"/>
        </w:rPr>
        <w:t xml:space="preserve"> for the building.</w:t>
      </w:r>
    </w:p>
    <w:p w14:paraId="319A8815" w14:textId="69BF8DB7" w:rsidR="002333ED" w:rsidRPr="00CC0320" w:rsidRDefault="002333ED" w:rsidP="002333ED">
      <w:pPr>
        <w:rPr>
          <w:rFonts w:cs="Arial"/>
          <w:szCs w:val="24"/>
        </w:rPr>
      </w:pPr>
    </w:p>
    <w:p w14:paraId="74AC9EA3" w14:textId="36A05983" w:rsidR="002333ED" w:rsidRPr="00CC0320" w:rsidRDefault="002333ED" w:rsidP="002333ED">
      <w:pPr>
        <w:rPr>
          <w:rFonts w:cs="Arial"/>
          <w:szCs w:val="24"/>
        </w:rPr>
      </w:pPr>
      <w:r w:rsidRPr="00CC0320">
        <w:rPr>
          <w:rFonts w:cs="Arial"/>
          <w:szCs w:val="24"/>
        </w:rPr>
        <w:t>No changes were pro</w:t>
      </w:r>
      <w:r w:rsidR="00DB3094" w:rsidRPr="00CC0320">
        <w:rPr>
          <w:rFonts w:cs="Arial"/>
          <w:szCs w:val="24"/>
        </w:rPr>
        <w:t>posed to Grange Farm as part of the review</w:t>
      </w:r>
      <w:r w:rsidR="004B2E6D" w:rsidRPr="00CC0320">
        <w:rPr>
          <w:rFonts w:cs="Arial"/>
          <w:szCs w:val="24"/>
        </w:rPr>
        <w:t>,</w:t>
      </w:r>
      <w:r w:rsidR="00DB3094" w:rsidRPr="00CC0320">
        <w:rPr>
          <w:rFonts w:cs="Arial"/>
          <w:szCs w:val="24"/>
        </w:rPr>
        <w:t xml:space="preserve"> but the development of the Business Plan was to continue.</w:t>
      </w:r>
    </w:p>
    <w:p w14:paraId="21AB081C" w14:textId="2437BD7A" w:rsidR="00B76CAF" w:rsidRPr="00CC0320" w:rsidRDefault="00B76CAF" w:rsidP="002333ED">
      <w:pPr>
        <w:rPr>
          <w:rFonts w:cs="Arial"/>
          <w:szCs w:val="24"/>
        </w:rPr>
      </w:pPr>
    </w:p>
    <w:p w14:paraId="096CB68F" w14:textId="6ADB3181" w:rsidR="00EB5798" w:rsidRPr="00B932BD" w:rsidRDefault="00B932BD" w:rsidP="002333ED">
      <w:pPr>
        <w:rPr>
          <w:rFonts w:ascii="Arial Black" w:hAnsi="Arial Black" w:cs="Arial"/>
          <w:b/>
          <w:bCs/>
          <w:szCs w:val="24"/>
        </w:rPr>
      </w:pPr>
      <w:r>
        <w:rPr>
          <w:rFonts w:ascii="Arial Black" w:hAnsi="Arial Black" w:cs="Arial"/>
          <w:b/>
          <w:bCs/>
          <w:szCs w:val="24"/>
        </w:rPr>
        <w:t xml:space="preserve">2.4 </w:t>
      </w:r>
      <w:r w:rsidR="00EB5798" w:rsidRPr="00B932BD">
        <w:rPr>
          <w:rFonts w:ascii="Arial Black" w:hAnsi="Arial Black" w:cs="Arial"/>
          <w:b/>
          <w:bCs/>
          <w:szCs w:val="24"/>
        </w:rPr>
        <w:t>The outcome of the review</w:t>
      </w:r>
    </w:p>
    <w:p w14:paraId="6AA05708" w14:textId="77777777" w:rsidR="00EB5798" w:rsidRPr="00CC0320" w:rsidRDefault="00EB5798" w:rsidP="002333ED">
      <w:pPr>
        <w:rPr>
          <w:rFonts w:cs="Arial"/>
          <w:b/>
          <w:bCs/>
          <w:i/>
          <w:iCs/>
          <w:szCs w:val="24"/>
        </w:rPr>
      </w:pPr>
    </w:p>
    <w:p w14:paraId="231B5591" w14:textId="0D0F707F" w:rsidR="00B76CAF" w:rsidRPr="00DC3D12" w:rsidRDefault="000711C3" w:rsidP="00DC3D12">
      <w:pPr>
        <w:pStyle w:val="ListParagraph"/>
        <w:numPr>
          <w:ilvl w:val="0"/>
          <w:numId w:val="13"/>
        </w:numPr>
        <w:rPr>
          <w:rFonts w:cs="Arial"/>
          <w:b/>
          <w:bCs/>
          <w:i/>
          <w:iCs/>
          <w:szCs w:val="24"/>
        </w:rPr>
      </w:pPr>
      <w:r w:rsidRPr="00DC3D12">
        <w:rPr>
          <w:rFonts w:cs="Arial"/>
          <w:b/>
          <w:bCs/>
          <w:i/>
          <w:iCs/>
          <w:szCs w:val="24"/>
        </w:rPr>
        <w:t>Byron Quarter</w:t>
      </w:r>
    </w:p>
    <w:p w14:paraId="245B77D4" w14:textId="6410C2A0" w:rsidR="003642DE" w:rsidRPr="00CC0320" w:rsidRDefault="003642DE" w:rsidP="002333ED">
      <w:pPr>
        <w:rPr>
          <w:rFonts w:cs="Arial"/>
          <w:b/>
          <w:bCs/>
          <w:i/>
          <w:iCs/>
          <w:szCs w:val="24"/>
        </w:rPr>
      </w:pPr>
    </w:p>
    <w:p w14:paraId="3531A55C" w14:textId="646D60D4" w:rsidR="002D08D1" w:rsidRPr="00CC0320" w:rsidRDefault="00904B8D" w:rsidP="00E0555F">
      <w:pPr>
        <w:rPr>
          <w:rFonts w:cs="Arial"/>
          <w:b/>
          <w:szCs w:val="24"/>
        </w:rPr>
      </w:pPr>
      <w:r w:rsidRPr="00CC0320">
        <w:rPr>
          <w:rFonts w:cs="Arial"/>
          <w:szCs w:val="24"/>
        </w:rPr>
        <w:t>The principal outcomes of the review are</w:t>
      </w:r>
      <w:r w:rsidR="00422912" w:rsidRPr="00CC0320">
        <w:rPr>
          <w:rFonts w:cs="Arial"/>
          <w:szCs w:val="24"/>
        </w:rPr>
        <w:t xml:space="preserve"> the reduction of the height </w:t>
      </w:r>
      <w:r w:rsidR="00172FCB" w:rsidRPr="00CC0320">
        <w:rPr>
          <w:rFonts w:cs="Arial"/>
          <w:szCs w:val="24"/>
        </w:rPr>
        <w:t xml:space="preserve">of the buildings </w:t>
      </w:r>
      <w:r w:rsidR="00422912" w:rsidRPr="00CC0320">
        <w:rPr>
          <w:rFonts w:cs="Arial"/>
          <w:szCs w:val="24"/>
        </w:rPr>
        <w:t>on the easter</w:t>
      </w:r>
      <w:r w:rsidR="001F1DBF" w:rsidRPr="00CC0320">
        <w:rPr>
          <w:rFonts w:cs="Arial"/>
          <w:szCs w:val="24"/>
        </w:rPr>
        <w:t xml:space="preserve">n Belmont Trail boundary of the site, which is closer to residents, and the addition of some units of </w:t>
      </w:r>
      <w:r w:rsidR="002D08D1" w:rsidRPr="00CC0320">
        <w:rPr>
          <w:rFonts w:cs="Arial"/>
          <w:szCs w:val="24"/>
        </w:rPr>
        <w:t>terraced housing on the south</w:t>
      </w:r>
      <w:r w:rsidR="00782594" w:rsidRPr="00CC0320">
        <w:rPr>
          <w:rFonts w:cs="Arial"/>
          <w:szCs w:val="24"/>
        </w:rPr>
        <w:t>-</w:t>
      </w:r>
      <w:r w:rsidR="002D08D1" w:rsidRPr="00CC0320">
        <w:rPr>
          <w:rFonts w:cs="Arial"/>
          <w:szCs w:val="24"/>
        </w:rPr>
        <w:t>easter</w:t>
      </w:r>
      <w:r w:rsidR="004B2E6D" w:rsidRPr="00CC0320">
        <w:rPr>
          <w:rFonts w:cs="Arial"/>
          <w:szCs w:val="24"/>
        </w:rPr>
        <w:t>n</w:t>
      </w:r>
      <w:r w:rsidR="002D08D1" w:rsidRPr="00CC0320">
        <w:rPr>
          <w:rFonts w:cs="Arial"/>
          <w:szCs w:val="24"/>
        </w:rPr>
        <w:t xml:space="preserve"> corner.</w:t>
      </w:r>
    </w:p>
    <w:p w14:paraId="6988D0A3" w14:textId="69102147" w:rsidR="002D08D1" w:rsidRPr="00CC0320" w:rsidRDefault="00FA5784" w:rsidP="001472A8">
      <w:pPr>
        <w:spacing w:before="240"/>
        <w:rPr>
          <w:rFonts w:cs="Arial"/>
          <w:bCs/>
          <w:szCs w:val="24"/>
        </w:rPr>
      </w:pPr>
      <w:r w:rsidRPr="00CC0320">
        <w:rPr>
          <w:rFonts w:cs="Arial"/>
          <w:bCs/>
          <w:szCs w:val="24"/>
        </w:rPr>
        <w:t>The challenges</w:t>
      </w:r>
      <w:r w:rsidR="006A04C0" w:rsidRPr="00CC0320">
        <w:rPr>
          <w:rFonts w:cs="Arial"/>
          <w:bCs/>
          <w:szCs w:val="24"/>
        </w:rPr>
        <w:t xml:space="preserve"> of build costs </w:t>
      </w:r>
      <w:r w:rsidR="00E81261" w:rsidRPr="00CC0320">
        <w:rPr>
          <w:rFonts w:cs="Arial"/>
          <w:bCs/>
          <w:szCs w:val="24"/>
        </w:rPr>
        <w:t>remain,</w:t>
      </w:r>
      <w:r w:rsidR="006A04C0" w:rsidRPr="00CC0320">
        <w:rPr>
          <w:rFonts w:cs="Arial"/>
          <w:bCs/>
          <w:szCs w:val="24"/>
        </w:rPr>
        <w:t xml:space="preserve"> and the </w:t>
      </w:r>
      <w:r w:rsidR="00901E61" w:rsidRPr="00CC0320">
        <w:rPr>
          <w:rFonts w:cs="Arial"/>
          <w:bCs/>
          <w:szCs w:val="24"/>
        </w:rPr>
        <w:t xml:space="preserve">partners are working through this including in discussion with the GLA. Pre application discussions </w:t>
      </w:r>
      <w:r w:rsidR="00745495" w:rsidRPr="00CC0320">
        <w:rPr>
          <w:rFonts w:cs="Arial"/>
          <w:bCs/>
          <w:szCs w:val="24"/>
        </w:rPr>
        <w:t xml:space="preserve">following the changes </w:t>
      </w:r>
      <w:r w:rsidR="00B9674B" w:rsidRPr="00CC0320">
        <w:rPr>
          <w:rFonts w:cs="Arial"/>
          <w:bCs/>
          <w:szCs w:val="24"/>
        </w:rPr>
        <w:t>have resumed</w:t>
      </w:r>
      <w:r w:rsidR="00745495" w:rsidRPr="00CC0320">
        <w:rPr>
          <w:rFonts w:cs="Arial"/>
          <w:bCs/>
          <w:szCs w:val="24"/>
        </w:rPr>
        <w:t xml:space="preserve"> both with the local planning teams and the GLA.</w:t>
      </w:r>
      <w:r w:rsidR="000600B9" w:rsidRPr="00CC0320">
        <w:rPr>
          <w:rFonts w:cs="Arial"/>
          <w:bCs/>
          <w:szCs w:val="24"/>
        </w:rPr>
        <w:t xml:space="preserve"> Partnership colleagues and advisers continue to explore the most appropriate ways of tackling the viability issue.</w:t>
      </w:r>
      <w:r w:rsidR="00E35993" w:rsidRPr="00CC0320">
        <w:rPr>
          <w:rFonts w:cs="Arial"/>
          <w:bCs/>
          <w:szCs w:val="24"/>
        </w:rPr>
        <w:t xml:space="preserve"> It is aimed to bring back </w:t>
      </w:r>
      <w:r w:rsidR="005E1B65" w:rsidRPr="00CC0320">
        <w:rPr>
          <w:rFonts w:cs="Arial"/>
          <w:bCs/>
          <w:szCs w:val="24"/>
        </w:rPr>
        <w:t>the detailed Phase Business Plan in January 2023.</w:t>
      </w:r>
    </w:p>
    <w:p w14:paraId="6DDA0CD5" w14:textId="02FF57CE" w:rsidR="00B17785" w:rsidRPr="00DC3D12" w:rsidRDefault="00B17785" w:rsidP="00DC3D12">
      <w:pPr>
        <w:pStyle w:val="ListParagraph"/>
        <w:numPr>
          <w:ilvl w:val="0"/>
          <w:numId w:val="13"/>
        </w:numPr>
        <w:spacing w:before="240"/>
        <w:rPr>
          <w:rFonts w:cs="Arial"/>
          <w:b/>
          <w:i/>
          <w:iCs/>
          <w:szCs w:val="24"/>
        </w:rPr>
      </w:pPr>
      <w:r w:rsidRPr="00DC3D12">
        <w:rPr>
          <w:rFonts w:cs="Arial"/>
          <w:b/>
          <w:i/>
          <w:iCs/>
          <w:szCs w:val="24"/>
        </w:rPr>
        <w:t>Peel Road</w:t>
      </w:r>
    </w:p>
    <w:p w14:paraId="25EF110E" w14:textId="1047FDE7" w:rsidR="00341C2A" w:rsidRPr="00CC0320" w:rsidRDefault="00C43A7A" w:rsidP="001472A8">
      <w:pPr>
        <w:spacing w:before="240"/>
        <w:rPr>
          <w:rFonts w:cs="Arial"/>
          <w:bCs/>
          <w:szCs w:val="24"/>
        </w:rPr>
      </w:pPr>
      <w:r w:rsidRPr="00CC0320">
        <w:rPr>
          <w:rFonts w:cs="Arial"/>
          <w:bCs/>
          <w:szCs w:val="24"/>
        </w:rPr>
        <w:t>The Civ</w:t>
      </w:r>
      <w:r w:rsidR="00202F27" w:rsidRPr="00CC0320">
        <w:rPr>
          <w:rFonts w:cs="Arial"/>
          <w:bCs/>
          <w:szCs w:val="24"/>
        </w:rPr>
        <w:t>i</w:t>
      </w:r>
      <w:r w:rsidRPr="00CC0320">
        <w:rPr>
          <w:rFonts w:cs="Arial"/>
          <w:bCs/>
          <w:szCs w:val="24"/>
        </w:rPr>
        <w:t xml:space="preserve">c Centre has been removed, and </w:t>
      </w:r>
      <w:r w:rsidR="00202F27" w:rsidRPr="00CC0320">
        <w:rPr>
          <w:rFonts w:cs="Arial"/>
          <w:bCs/>
          <w:szCs w:val="24"/>
        </w:rPr>
        <w:t>two and three block residential options are being considered.</w:t>
      </w:r>
      <w:r w:rsidR="00BA037D" w:rsidRPr="00CC0320">
        <w:rPr>
          <w:rFonts w:cs="Arial"/>
          <w:bCs/>
          <w:szCs w:val="24"/>
        </w:rPr>
        <w:t xml:space="preserve"> Given the fact that this is </w:t>
      </w:r>
      <w:r w:rsidR="00E45D62" w:rsidRPr="00CC0320">
        <w:rPr>
          <w:rFonts w:cs="Arial"/>
          <w:bCs/>
          <w:szCs w:val="24"/>
        </w:rPr>
        <w:t>with</w:t>
      </w:r>
      <w:r w:rsidR="00BA037D" w:rsidRPr="00CC0320">
        <w:rPr>
          <w:rFonts w:cs="Arial"/>
          <w:bCs/>
          <w:szCs w:val="24"/>
        </w:rPr>
        <w:t>in the</w:t>
      </w:r>
      <w:r w:rsidR="007154B7" w:rsidRPr="00CC0320">
        <w:rPr>
          <w:rFonts w:cs="Arial"/>
          <w:bCs/>
          <w:szCs w:val="24"/>
        </w:rPr>
        <w:t xml:space="preserve"> Opportunity </w:t>
      </w:r>
      <w:r w:rsidR="00C26403" w:rsidRPr="00CC0320">
        <w:rPr>
          <w:rFonts w:cs="Arial"/>
          <w:bCs/>
          <w:szCs w:val="24"/>
        </w:rPr>
        <w:t>A</w:t>
      </w:r>
      <w:r w:rsidR="007154B7" w:rsidRPr="00CC0320">
        <w:rPr>
          <w:rFonts w:cs="Arial"/>
          <w:bCs/>
          <w:szCs w:val="24"/>
        </w:rPr>
        <w:t>rea</w:t>
      </w:r>
      <w:r w:rsidR="00AA225D" w:rsidRPr="00CC0320">
        <w:rPr>
          <w:rFonts w:cs="Arial"/>
          <w:bCs/>
          <w:szCs w:val="24"/>
        </w:rPr>
        <w:t xml:space="preserve"> for Harrow</w:t>
      </w:r>
      <w:r w:rsidR="009F16D1" w:rsidRPr="00CC0320">
        <w:rPr>
          <w:rFonts w:cs="Arial"/>
          <w:bCs/>
          <w:szCs w:val="24"/>
        </w:rPr>
        <w:t>,</w:t>
      </w:r>
      <w:r w:rsidR="007154B7" w:rsidRPr="00CC0320">
        <w:rPr>
          <w:rFonts w:cs="Arial"/>
          <w:bCs/>
          <w:szCs w:val="24"/>
        </w:rPr>
        <w:t xml:space="preserve"> a level of height is being retained, although this will not exceed </w:t>
      </w:r>
      <w:r w:rsidR="006F6CBB" w:rsidRPr="00CC0320">
        <w:rPr>
          <w:rFonts w:cs="Arial"/>
          <w:bCs/>
          <w:szCs w:val="24"/>
        </w:rPr>
        <w:t xml:space="preserve">the height of </w:t>
      </w:r>
      <w:r w:rsidR="007154B7" w:rsidRPr="00CC0320">
        <w:rPr>
          <w:rFonts w:cs="Arial"/>
          <w:bCs/>
          <w:szCs w:val="24"/>
        </w:rPr>
        <w:t xml:space="preserve">existing </w:t>
      </w:r>
      <w:r w:rsidR="00C26403" w:rsidRPr="00CC0320">
        <w:rPr>
          <w:rFonts w:cs="Arial"/>
          <w:bCs/>
          <w:szCs w:val="24"/>
        </w:rPr>
        <w:t xml:space="preserve">consented </w:t>
      </w:r>
      <w:r w:rsidR="007154B7" w:rsidRPr="00CC0320">
        <w:rPr>
          <w:rFonts w:cs="Arial"/>
          <w:bCs/>
          <w:szCs w:val="24"/>
        </w:rPr>
        <w:t>buildings</w:t>
      </w:r>
      <w:r w:rsidR="002C5A26" w:rsidRPr="00CC0320">
        <w:rPr>
          <w:rFonts w:cs="Arial"/>
          <w:bCs/>
          <w:szCs w:val="24"/>
        </w:rPr>
        <w:t xml:space="preserve">. </w:t>
      </w:r>
      <w:r w:rsidR="00C26403" w:rsidRPr="00CC0320">
        <w:rPr>
          <w:rFonts w:cs="Arial"/>
          <w:bCs/>
          <w:szCs w:val="24"/>
        </w:rPr>
        <w:t>Here</w:t>
      </w:r>
      <w:r w:rsidR="009F16D1" w:rsidRPr="00CC0320">
        <w:rPr>
          <w:rFonts w:cs="Arial"/>
          <w:bCs/>
          <w:szCs w:val="24"/>
        </w:rPr>
        <w:t>,</w:t>
      </w:r>
      <w:r w:rsidR="00C26403" w:rsidRPr="00CC0320">
        <w:rPr>
          <w:rFonts w:cs="Arial"/>
          <w:bCs/>
          <w:szCs w:val="24"/>
        </w:rPr>
        <w:t xml:space="preserve"> </w:t>
      </w:r>
      <w:r w:rsidR="009674D7" w:rsidRPr="00CC0320">
        <w:rPr>
          <w:rFonts w:cs="Arial"/>
          <w:bCs/>
          <w:szCs w:val="24"/>
        </w:rPr>
        <w:t>as elsewhere</w:t>
      </w:r>
      <w:r w:rsidR="009F16D1" w:rsidRPr="00CC0320">
        <w:rPr>
          <w:rFonts w:cs="Arial"/>
          <w:bCs/>
          <w:szCs w:val="24"/>
        </w:rPr>
        <w:t>,</w:t>
      </w:r>
      <w:r w:rsidR="009674D7" w:rsidRPr="00CC0320">
        <w:rPr>
          <w:rFonts w:cs="Arial"/>
          <w:bCs/>
          <w:szCs w:val="24"/>
        </w:rPr>
        <w:t xml:space="preserve"> t</w:t>
      </w:r>
      <w:r w:rsidR="002C5A26" w:rsidRPr="00CC0320">
        <w:rPr>
          <w:rFonts w:cs="Arial"/>
          <w:bCs/>
          <w:szCs w:val="24"/>
        </w:rPr>
        <w:t xml:space="preserve">he Council and the partnership will also be concentrating on </w:t>
      </w:r>
      <w:r w:rsidR="009674D7" w:rsidRPr="00CC0320">
        <w:rPr>
          <w:rFonts w:cs="Arial"/>
          <w:bCs/>
          <w:szCs w:val="24"/>
        </w:rPr>
        <w:t xml:space="preserve">achieving </w:t>
      </w:r>
      <w:r w:rsidR="002C5A26" w:rsidRPr="00CC0320">
        <w:rPr>
          <w:rFonts w:cs="Arial"/>
          <w:bCs/>
          <w:szCs w:val="24"/>
        </w:rPr>
        <w:t>exemplar design.</w:t>
      </w:r>
    </w:p>
    <w:p w14:paraId="70F2CD63" w14:textId="4AAB1B0E" w:rsidR="0025449F" w:rsidRPr="00CC0320" w:rsidRDefault="0025449F" w:rsidP="001472A8">
      <w:pPr>
        <w:spacing w:before="240"/>
        <w:rPr>
          <w:rFonts w:cs="Arial"/>
          <w:bCs/>
          <w:szCs w:val="24"/>
        </w:rPr>
      </w:pPr>
      <w:r w:rsidRPr="00CC0320">
        <w:rPr>
          <w:rFonts w:cs="Arial"/>
          <w:bCs/>
          <w:szCs w:val="24"/>
        </w:rPr>
        <w:t xml:space="preserve">Currently feasibility discussions are </w:t>
      </w:r>
      <w:r w:rsidR="00AD1BB8" w:rsidRPr="00CC0320">
        <w:rPr>
          <w:rFonts w:cs="Arial"/>
          <w:bCs/>
          <w:szCs w:val="24"/>
        </w:rPr>
        <w:t>ongoing</w:t>
      </w:r>
      <w:r w:rsidRPr="00CC0320">
        <w:rPr>
          <w:rFonts w:cs="Arial"/>
          <w:bCs/>
          <w:szCs w:val="24"/>
        </w:rPr>
        <w:t xml:space="preserve"> with the </w:t>
      </w:r>
      <w:r w:rsidR="00AD1BB8" w:rsidRPr="00CC0320">
        <w:rPr>
          <w:rFonts w:cs="Arial"/>
          <w:bCs/>
          <w:szCs w:val="24"/>
        </w:rPr>
        <w:t>planning officers and financial due diligence is being undertaken</w:t>
      </w:r>
      <w:r w:rsidR="00622036" w:rsidRPr="00CC0320">
        <w:rPr>
          <w:rFonts w:cs="Arial"/>
          <w:bCs/>
          <w:szCs w:val="24"/>
        </w:rPr>
        <w:t>,</w:t>
      </w:r>
      <w:r w:rsidR="00AD1BB8" w:rsidRPr="00CC0320">
        <w:rPr>
          <w:rFonts w:cs="Arial"/>
          <w:bCs/>
          <w:szCs w:val="24"/>
        </w:rPr>
        <w:t xml:space="preserve"> </w:t>
      </w:r>
      <w:r w:rsidR="000935D7" w:rsidRPr="00CC0320">
        <w:rPr>
          <w:rFonts w:cs="Arial"/>
          <w:bCs/>
          <w:szCs w:val="24"/>
        </w:rPr>
        <w:t xml:space="preserve">particularly around the most appropriate tenures. Discussions are also underway with regard to attracting </w:t>
      </w:r>
      <w:r w:rsidR="00E45D62" w:rsidRPr="00CC0320">
        <w:rPr>
          <w:rFonts w:cs="Arial"/>
          <w:bCs/>
          <w:szCs w:val="24"/>
        </w:rPr>
        <w:t xml:space="preserve">GLA </w:t>
      </w:r>
      <w:r w:rsidR="000935D7" w:rsidRPr="00CC0320">
        <w:rPr>
          <w:rFonts w:cs="Arial"/>
          <w:bCs/>
          <w:szCs w:val="24"/>
        </w:rPr>
        <w:t xml:space="preserve">grant </w:t>
      </w:r>
      <w:r w:rsidR="00622036" w:rsidRPr="00CC0320">
        <w:rPr>
          <w:rFonts w:cs="Arial"/>
          <w:bCs/>
          <w:szCs w:val="24"/>
        </w:rPr>
        <w:t>for this scheme</w:t>
      </w:r>
      <w:r w:rsidR="000935D7" w:rsidRPr="00CC0320">
        <w:rPr>
          <w:rFonts w:cs="Arial"/>
          <w:bCs/>
          <w:szCs w:val="24"/>
        </w:rPr>
        <w:t>.</w:t>
      </w:r>
      <w:r w:rsidR="00E137E3" w:rsidRPr="00CC0320">
        <w:rPr>
          <w:rFonts w:cs="Arial"/>
          <w:bCs/>
          <w:szCs w:val="24"/>
        </w:rPr>
        <w:t xml:space="preserve"> The challenges of financial viability will apply here too, but </w:t>
      </w:r>
      <w:r w:rsidR="00193C62" w:rsidRPr="00CC0320">
        <w:rPr>
          <w:rFonts w:cs="Arial"/>
          <w:bCs/>
          <w:szCs w:val="24"/>
        </w:rPr>
        <w:t>at this much earlier stage, the</w:t>
      </w:r>
      <w:r w:rsidR="00FD31AC" w:rsidRPr="00CC0320">
        <w:rPr>
          <w:rFonts w:cs="Arial"/>
          <w:bCs/>
          <w:szCs w:val="24"/>
        </w:rPr>
        <w:t xml:space="preserve">re is considerable </w:t>
      </w:r>
      <w:r w:rsidR="00193C62" w:rsidRPr="00CC0320">
        <w:rPr>
          <w:rFonts w:cs="Arial"/>
          <w:bCs/>
          <w:szCs w:val="24"/>
        </w:rPr>
        <w:t>opportunity to resolve these.</w:t>
      </w:r>
    </w:p>
    <w:p w14:paraId="15C4E6B9" w14:textId="3A5EF25D" w:rsidR="006976F8" w:rsidRPr="003921C4" w:rsidRDefault="006976F8" w:rsidP="00DC3D12">
      <w:pPr>
        <w:pStyle w:val="ListParagraph"/>
        <w:numPr>
          <w:ilvl w:val="0"/>
          <w:numId w:val="13"/>
        </w:numPr>
        <w:spacing w:before="240"/>
        <w:rPr>
          <w:rFonts w:cs="Arial"/>
          <w:b/>
          <w:i/>
          <w:iCs/>
          <w:szCs w:val="24"/>
        </w:rPr>
      </w:pPr>
      <w:r w:rsidRPr="003921C4">
        <w:rPr>
          <w:rFonts w:cs="Arial"/>
          <w:b/>
          <w:i/>
          <w:iCs/>
          <w:szCs w:val="24"/>
        </w:rPr>
        <w:t>Greenhill Way</w:t>
      </w:r>
    </w:p>
    <w:p w14:paraId="20F87496" w14:textId="5DFE3662" w:rsidR="006976F8" w:rsidRPr="00CC0320" w:rsidRDefault="00397C4B" w:rsidP="001472A8">
      <w:pPr>
        <w:spacing w:before="240"/>
        <w:rPr>
          <w:rFonts w:cs="Arial"/>
          <w:bCs/>
          <w:szCs w:val="24"/>
        </w:rPr>
      </w:pPr>
      <w:r w:rsidRPr="00CC0320">
        <w:rPr>
          <w:rFonts w:cs="Arial"/>
          <w:bCs/>
          <w:szCs w:val="24"/>
        </w:rPr>
        <w:t xml:space="preserve">As the </w:t>
      </w:r>
      <w:r w:rsidR="00ED4FAE" w:rsidRPr="00CC0320">
        <w:rPr>
          <w:rFonts w:cs="Arial"/>
          <w:bCs/>
          <w:szCs w:val="24"/>
        </w:rPr>
        <w:t>Town Hall will no longer be sited at Peel Road, the partnership was asked to</w:t>
      </w:r>
      <w:r w:rsidR="0085277E" w:rsidRPr="00CC0320">
        <w:rPr>
          <w:rFonts w:cs="Arial"/>
          <w:bCs/>
          <w:szCs w:val="24"/>
        </w:rPr>
        <w:t xml:space="preserve"> review the </w:t>
      </w:r>
      <w:r w:rsidR="00EC1694" w:rsidRPr="00CC0320">
        <w:rPr>
          <w:rFonts w:cs="Arial"/>
          <w:bCs/>
          <w:szCs w:val="24"/>
        </w:rPr>
        <w:t>existing</w:t>
      </w:r>
      <w:r w:rsidR="00381477" w:rsidRPr="00CC0320">
        <w:rPr>
          <w:rFonts w:cs="Arial"/>
          <w:bCs/>
          <w:szCs w:val="24"/>
        </w:rPr>
        <w:t xml:space="preserve"> Civic Centre site at </w:t>
      </w:r>
      <w:r w:rsidR="0085277E" w:rsidRPr="00CC0320">
        <w:rPr>
          <w:rFonts w:cs="Arial"/>
          <w:bCs/>
          <w:szCs w:val="24"/>
        </w:rPr>
        <w:t xml:space="preserve">Poets Corner and Greenhill </w:t>
      </w:r>
      <w:r w:rsidR="0085277E" w:rsidRPr="00CC0320">
        <w:rPr>
          <w:rFonts w:cs="Arial"/>
          <w:bCs/>
          <w:szCs w:val="24"/>
        </w:rPr>
        <w:lastRenderedPageBreak/>
        <w:t xml:space="preserve">Way </w:t>
      </w:r>
      <w:r w:rsidR="009223BC" w:rsidRPr="00CC0320">
        <w:rPr>
          <w:rFonts w:cs="Arial"/>
          <w:bCs/>
          <w:szCs w:val="24"/>
        </w:rPr>
        <w:t>car park as to the most suitable</w:t>
      </w:r>
      <w:r w:rsidR="006E7E60" w:rsidRPr="00CC0320">
        <w:rPr>
          <w:rFonts w:cs="Arial"/>
          <w:bCs/>
          <w:szCs w:val="24"/>
        </w:rPr>
        <w:t xml:space="preserve"> location for a new Town Hall</w:t>
      </w:r>
      <w:r w:rsidR="00586BD6" w:rsidRPr="00CC0320">
        <w:rPr>
          <w:rFonts w:cs="Arial"/>
          <w:bCs/>
          <w:szCs w:val="24"/>
        </w:rPr>
        <w:t xml:space="preserve">. Council officers and advisers </w:t>
      </w:r>
      <w:r w:rsidR="000B05FC" w:rsidRPr="00CC0320">
        <w:rPr>
          <w:rFonts w:cs="Arial"/>
          <w:bCs/>
          <w:szCs w:val="24"/>
        </w:rPr>
        <w:t xml:space="preserve">also examined the optimum size for the Town Hall, given that the Council’s prime focus for </w:t>
      </w:r>
      <w:r w:rsidR="006223FD" w:rsidRPr="00CC0320">
        <w:rPr>
          <w:rFonts w:cs="Arial"/>
          <w:bCs/>
          <w:szCs w:val="24"/>
        </w:rPr>
        <w:t xml:space="preserve">collaborative and </w:t>
      </w:r>
      <w:r w:rsidR="008B3C1F" w:rsidRPr="00CC0320">
        <w:rPr>
          <w:rFonts w:cs="Arial"/>
          <w:bCs/>
          <w:szCs w:val="24"/>
        </w:rPr>
        <w:t>in</w:t>
      </w:r>
      <w:r w:rsidR="00381477" w:rsidRPr="00CC0320">
        <w:rPr>
          <w:rFonts w:cs="Arial"/>
          <w:bCs/>
          <w:szCs w:val="24"/>
        </w:rPr>
        <w:t>-</w:t>
      </w:r>
      <w:r w:rsidR="008B3C1F" w:rsidRPr="00CC0320">
        <w:rPr>
          <w:rFonts w:cs="Arial"/>
          <w:bCs/>
          <w:szCs w:val="24"/>
        </w:rPr>
        <w:t>office</w:t>
      </w:r>
      <w:r w:rsidR="006223FD" w:rsidRPr="00CC0320">
        <w:rPr>
          <w:rFonts w:cs="Arial"/>
          <w:bCs/>
          <w:szCs w:val="24"/>
        </w:rPr>
        <w:t xml:space="preserve"> working</w:t>
      </w:r>
      <w:r w:rsidR="00C115E5" w:rsidRPr="00CC0320">
        <w:rPr>
          <w:rFonts w:cs="Arial"/>
          <w:bCs/>
          <w:szCs w:val="24"/>
        </w:rPr>
        <w:t xml:space="preserve"> is now the Harrow Council Hub at Forward Drive (HCH)</w:t>
      </w:r>
      <w:r w:rsidR="005C7449" w:rsidRPr="00CC0320">
        <w:rPr>
          <w:rFonts w:cs="Arial"/>
          <w:bCs/>
          <w:szCs w:val="24"/>
        </w:rPr>
        <w:t>.</w:t>
      </w:r>
    </w:p>
    <w:p w14:paraId="3E1562D8" w14:textId="2D8A11EF" w:rsidR="00AF02F9" w:rsidRPr="00CC0320" w:rsidRDefault="00963046" w:rsidP="001472A8">
      <w:pPr>
        <w:spacing w:before="240"/>
        <w:rPr>
          <w:rFonts w:cs="Arial"/>
          <w:bCs/>
          <w:szCs w:val="24"/>
        </w:rPr>
      </w:pPr>
      <w:r w:rsidRPr="00CC0320">
        <w:rPr>
          <w:rFonts w:cs="Arial"/>
          <w:bCs/>
          <w:szCs w:val="24"/>
        </w:rPr>
        <w:t>The sizing process conclude</w:t>
      </w:r>
      <w:r w:rsidR="00117F28" w:rsidRPr="00CC0320">
        <w:rPr>
          <w:rFonts w:cs="Arial"/>
          <w:bCs/>
          <w:szCs w:val="24"/>
        </w:rPr>
        <w:t>d</w:t>
      </w:r>
      <w:r w:rsidRPr="00CC0320">
        <w:rPr>
          <w:rFonts w:cs="Arial"/>
          <w:bCs/>
          <w:szCs w:val="24"/>
        </w:rPr>
        <w:t xml:space="preserve"> that a building of approximately 1,500 m2 will meet the Council’s requirements comprising of:</w:t>
      </w:r>
    </w:p>
    <w:p w14:paraId="20C6051A" w14:textId="77777777" w:rsidR="00E14252" w:rsidRPr="00CC0320" w:rsidRDefault="00E14252" w:rsidP="00E14252">
      <w:pPr>
        <w:ind w:left="360"/>
        <w:rPr>
          <w:rFonts w:cs="Arial"/>
          <w:bCs/>
          <w:szCs w:val="24"/>
        </w:rPr>
      </w:pPr>
    </w:p>
    <w:p w14:paraId="5E656917" w14:textId="33CED4C9" w:rsidR="00AF02F9" w:rsidRPr="00CC0320" w:rsidRDefault="00AF02F9" w:rsidP="00FC513B">
      <w:pPr>
        <w:numPr>
          <w:ilvl w:val="0"/>
          <w:numId w:val="3"/>
        </w:numPr>
        <w:rPr>
          <w:rFonts w:cs="Arial"/>
          <w:bCs/>
          <w:szCs w:val="24"/>
        </w:rPr>
      </w:pPr>
      <w:r w:rsidRPr="00CC0320">
        <w:rPr>
          <w:rFonts w:cs="Arial"/>
          <w:bCs/>
          <w:szCs w:val="24"/>
        </w:rPr>
        <w:t>Council Chamber</w:t>
      </w:r>
    </w:p>
    <w:p w14:paraId="2C3EEFDA" w14:textId="77777777" w:rsidR="00ED48B9" w:rsidRPr="00CC0320" w:rsidRDefault="00AF02F9" w:rsidP="005877DD">
      <w:pPr>
        <w:pStyle w:val="ListParagraph"/>
        <w:numPr>
          <w:ilvl w:val="0"/>
          <w:numId w:val="3"/>
        </w:numPr>
        <w:rPr>
          <w:rFonts w:cs="Arial"/>
          <w:bCs/>
          <w:szCs w:val="24"/>
        </w:rPr>
      </w:pPr>
      <w:r w:rsidRPr="00CC0320">
        <w:rPr>
          <w:rFonts w:cs="Arial"/>
          <w:bCs/>
          <w:szCs w:val="24"/>
        </w:rPr>
        <w:t>Space for gallery</w:t>
      </w:r>
    </w:p>
    <w:p w14:paraId="0C7E20F3" w14:textId="77777777" w:rsidR="00ED48B9" w:rsidRPr="00CC0320" w:rsidRDefault="00ED48B9" w:rsidP="00FC513B">
      <w:pPr>
        <w:numPr>
          <w:ilvl w:val="0"/>
          <w:numId w:val="3"/>
        </w:numPr>
        <w:rPr>
          <w:rFonts w:cs="Arial"/>
          <w:bCs/>
          <w:szCs w:val="24"/>
        </w:rPr>
      </w:pPr>
      <w:r w:rsidRPr="00CC0320">
        <w:rPr>
          <w:rFonts w:cs="Arial"/>
          <w:bCs/>
          <w:szCs w:val="24"/>
        </w:rPr>
        <w:t>Mayors Parlour</w:t>
      </w:r>
    </w:p>
    <w:p w14:paraId="32DBC9C1" w14:textId="2F0C78AC" w:rsidR="00AF02F9" w:rsidRPr="00CC0320" w:rsidRDefault="00AF02F9" w:rsidP="00FC513B">
      <w:pPr>
        <w:numPr>
          <w:ilvl w:val="0"/>
          <w:numId w:val="3"/>
        </w:numPr>
        <w:rPr>
          <w:rFonts w:cs="Arial"/>
          <w:bCs/>
          <w:szCs w:val="24"/>
        </w:rPr>
      </w:pPr>
      <w:r w:rsidRPr="00CC0320">
        <w:rPr>
          <w:rFonts w:cs="Arial"/>
          <w:bCs/>
          <w:szCs w:val="24"/>
        </w:rPr>
        <w:t>Two committee rooms</w:t>
      </w:r>
    </w:p>
    <w:p w14:paraId="34D7BA05" w14:textId="77777777" w:rsidR="00AF02F9" w:rsidRPr="00CC0320" w:rsidRDefault="00AF02F9" w:rsidP="00FC513B">
      <w:pPr>
        <w:numPr>
          <w:ilvl w:val="0"/>
          <w:numId w:val="3"/>
        </w:numPr>
        <w:rPr>
          <w:rFonts w:cs="Arial"/>
          <w:bCs/>
          <w:szCs w:val="24"/>
        </w:rPr>
      </w:pPr>
      <w:r w:rsidRPr="00CC0320">
        <w:rPr>
          <w:rFonts w:cs="Arial"/>
          <w:bCs/>
          <w:szCs w:val="24"/>
        </w:rPr>
        <w:t>Entrance and waiting area</w:t>
      </w:r>
    </w:p>
    <w:p w14:paraId="5308218A" w14:textId="77777777" w:rsidR="00AF02F9" w:rsidRPr="00CC0320" w:rsidRDefault="00AF02F9" w:rsidP="00FC513B">
      <w:pPr>
        <w:numPr>
          <w:ilvl w:val="0"/>
          <w:numId w:val="3"/>
        </w:numPr>
        <w:rPr>
          <w:rFonts w:cs="Arial"/>
          <w:bCs/>
          <w:szCs w:val="24"/>
        </w:rPr>
      </w:pPr>
      <w:r w:rsidRPr="00CC0320">
        <w:rPr>
          <w:rFonts w:cs="Arial"/>
          <w:bCs/>
          <w:szCs w:val="24"/>
        </w:rPr>
        <w:t>Toilets and changing room</w:t>
      </w:r>
    </w:p>
    <w:p w14:paraId="79FB8F29" w14:textId="77777777" w:rsidR="00AF02F9" w:rsidRPr="00CC0320" w:rsidRDefault="00AF02F9" w:rsidP="00FC513B">
      <w:pPr>
        <w:numPr>
          <w:ilvl w:val="0"/>
          <w:numId w:val="3"/>
        </w:numPr>
        <w:rPr>
          <w:rFonts w:cs="Arial"/>
          <w:bCs/>
          <w:szCs w:val="24"/>
        </w:rPr>
      </w:pPr>
      <w:r w:rsidRPr="00CC0320">
        <w:rPr>
          <w:rFonts w:cs="Arial"/>
          <w:bCs/>
          <w:szCs w:val="24"/>
        </w:rPr>
        <w:t>Storage and kitchen</w:t>
      </w:r>
    </w:p>
    <w:p w14:paraId="42B0048A" w14:textId="77777777" w:rsidR="00AF02F9" w:rsidRPr="00CC0320" w:rsidRDefault="00AF02F9" w:rsidP="00FC513B">
      <w:pPr>
        <w:numPr>
          <w:ilvl w:val="0"/>
          <w:numId w:val="3"/>
        </w:numPr>
        <w:rPr>
          <w:rFonts w:cs="Arial"/>
          <w:bCs/>
          <w:szCs w:val="24"/>
        </w:rPr>
      </w:pPr>
      <w:r w:rsidRPr="00CC0320">
        <w:rPr>
          <w:rFonts w:cs="Arial"/>
          <w:bCs/>
          <w:szCs w:val="24"/>
        </w:rPr>
        <w:t>Cycle Storage</w:t>
      </w:r>
    </w:p>
    <w:p w14:paraId="75AB0AA8" w14:textId="77777777" w:rsidR="00AF02F9" w:rsidRPr="00CC0320" w:rsidRDefault="00AF02F9" w:rsidP="00FC513B">
      <w:pPr>
        <w:numPr>
          <w:ilvl w:val="0"/>
          <w:numId w:val="3"/>
        </w:numPr>
        <w:rPr>
          <w:rFonts w:cs="Arial"/>
          <w:bCs/>
          <w:szCs w:val="24"/>
        </w:rPr>
      </w:pPr>
      <w:r w:rsidRPr="00CC0320">
        <w:rPr>
          <w:rFonts w:cs="Arial"/>
          <w:bCs/>
          <w:szCs w:val="24"/>
        </w:rPr>
        <w:t>Server room</w:t>
      </w:r>
    </w:p>
    <w:p w14:paraId="3DC4B7C8" w14:textId="77777777" w:rsidR="00AF02F9" w:rsidRPr="00CC0320" w:rsidRDefault="00AF02F9" w:rsidP="00FC513B">
      <w:pPr>
        <w:numPr>
          <w:ilvl w:val="0"/>
          <w:numId w:val="3"/>
        </w:numPr>
        <w:rPr>
          <w:rFonts w:cs="Arial"/>
          <w:bCs/>
          <w:szCs w:val="24"/>
        </w:rPr>
      </w:pPr>
      <w:r w:rsidRPr="00CC0320">
        <w:rPr>
          <w:rFonts w:cs="Arial"/>
          <w:bCs/>
          <w:szCs w:val="24"/>
        </w:rPr>
        <w:t>Car Parking – 60 spaces</w:t>
      </w:r>
    </w:p>
    <w:p w14:paraId="3ECB4B19" w14:textId="0DA71948" w:rsidR="00AF02F9" w:rsidRPr="00CC0320" w:rsidRDefault="00AF02F9" w:rsidP="00FC513B">
      <w:pPr>
        <w:numPr>
          <w:ilvl w:val="0"/>
          <w:numId w:val="3"/>
        </w:numPr>
        <w:rPr>
          <w:rFonts w:cs="Arial"/>
          <w:bCs/>
          <w:szCs w:val="24"/>
        </w:rPr>
      </w:pPr>
      <w:r w:rsidRPr="00CC0320">
        <w:rPr>
          <w:rFonts w:cs="Arial"/>
          <w:b/>
          <w:bCs/>
          <w:szCs w:val="24"/>
        </w:rPr>
        <w:t>Total Area 1,500 sqm</w:t>
      </w:r>
    </w:p>
    <w:p w14:paraId="5E819374" w14:textId="2C02C11A" w:rsidR="00AF02F9" w:rsidRPr="00CC0320" w:rsidRDefault="00AF02F9" w:rsidP="00CC637A">
      <w:pPr>
        <w:rPr>
          <w:rFonts w:cs="Arial"/>
          <w:b/>
          <w:bCs/>
          <w:szCs w:val="24"/>
        </w:rPr>
      </w:pPr>
    </w:p>
    <w:p w14:paraId="1042B5A1" w14:textId="450A53BD" w:rsidR="00873561" w:rsidRPr="00CC0320" w:rsidRDefault="00873561" w:rsidP="00873561">
      <w:pPr>
        <w:rPr>
          <w:rFonts w:cs="Arial"/>
          <w:szCs w:val="24"/>
        </w:rPr>
      </w:pPr>
      <w:r w:rsidRPr="00CC0320">
        <w:rPr>
          <w:rFonts w:cs="Arial"/>
          <w:szCs w:val="24"/>
        </w:rPr>
        <w:t>The HSDP review concluded that Greenhill Way was the better of the two sites, as easier to develop</w:t>
      </w:r>
      <w:r w:rsidR="00AC3FEB" w:rsidRPr="00CC0320">
        <w:rPr>
          <w:rFonts w:cs="Arial"/>
          <w:szCs w:val="24"/>
        </w:rPr>
        <w:t xml:space="preserve">, </w:t>
      </w:r>
      <w:r w:rsidR="00892B69" w:rsidRPr="00CC0320">
        <w:rPr>
          <w:rFonts w:cs="Arial"/>
          <w:szCs w:val="24"/>
        </w:rPr>
        <w:t xml:space="preserve">and </w:t>
      </w:r>
      <w:r w:rsidR="00AC3FEB" w:rsidRPr="00CC0320">
        <w:rPr>
          <w:rFonts w:cs="Arial"/>
          <w:szCs w:val="24"/>
        </w:rPr>
        <w:t>presented</w:t>
      </w:r>
      <w:r w:rsidRPr="00CC0320">
        <w:rPr>
          <w:rFonts w:cs="Arial"/>
          <w:szCs w:val="24"/>
        </w:rPr>
        <w:t xml:space="preserve"> opportunity </w:t>
      </w:r>
      <w:r w:rsidR="00892B69" w:rsidRPr="00CC0320">
        <w:rPr>
          <w:rFonts w:cs="Arial"/>
          <w:szCs w:val="24"/>
        </w:rPr>
        <w:t>for</w:t>
      </w:r>
      <w:r w:rsidRPr="00CC0320">
        <w:rPr>
          <w:rFonts w:cs="Arial"/>
          <w:szCs w:val="24"/>
        </w:rPr>
        <w:t xml:space="preserve"> a good potential mixed use development site with a strong town centre presence. In addition</w:t>
      </w:r>
      <w:r w:rsidR="002753D0" w:rsidRPr="00CC0320">
        <w:rPr>
          <w:rFonts w:cs="Arial"/>
          <w:szCs w:val="24"/>
        </w:rPr>
        <w:t>,</w:t>
      </w:r>
      <w:r w:rsidRPr="00CC0320">
        <w:rPr>
          <w:rFonts w:cs="Arial"/>
          <w:szCs w:val="24"/>
        </w:rPr>
        <w:t xml:space="preserve"> </w:t>
      </w:r>
      <w:r w:rsidR="00A1784C" w:rsidRPr="00CC0320">
        <w:rPr>
          <w:rFonts w:cs="Arial"/>
          <w:szCs w:val="24"/>
        </w:rPr>
        <w:t xml:space="preserve">this </w:t>
      </w:r>
      <w:r w:rsidRPr="00CC0320">
        <w:rPr>
          <w:rFonts w:cs="Arial"/>
          <w:szCs w:val="24"/>
        </w:rPr>
        <w:t xml:space="preserve">would enable a better land value at Poets Corner, where the scheme was already facing challenges of viability and </w:t>
      </w:r>
      <w:r w:rsidR="00153182" w:rsidRPr="00CC0320">
        <w:rPr>
          <w:rFonts w:cs="Arial"/>
          <w:szCs w:val="24"/>
        </w:rPr>
        <w:t>it was</w:t>
      </w:r>
      <w:r w:rsidRPr="00CC0320">
        <w:rPr>
          <w:rFonts w:cs="Arial"/>
          <w:szCs w:val="24"/>
        </w:rPr>
        <w:t xml:space="preserve"> important not to make this more difficult. </w:t>
      </w:r>
    </w:p>
    <w:p w14:paraId="38CFA03A" w14:textId="77777777" w:rsidR="00873561" w:rsidRPr="00CC0320" w:rsidRDefault="00873561" w:rsidP="00CC637A">
      <w:pPr>
        <w:rPr>
          <w:rFonts w:cs="Arial"/>
          <w:szCs w:val="24"/>
        </w:rPr>
      </w:pPr>
    </w:p>
    <w:p w14:paraId="595A6A72" w14:textId="12D973E2" w:rsidR="00A54F14" w:rsidRPr="00CC0320" w:rsidRDefault="00CC637A" w:rsidP="00CC637A">
      <w:pPr>
        <w:rPr>
          <w:rFonts w:cs="Arial"/>
          <w:szCs w:val="24"/>
        </w:rPr>
      </w:pPr>
      <w:r w:rsidRPr="00CC0320">
        <w:rPr>
          <w:rFonts w:cs="Arial"/>
          <w:szCs w:val="24"/>
        </w:rPr>
        <w:t xml:space="preserve">The HSDP review concluded that </w:t>
      </w:r>
      <w:r w:rsidR="00E50F5C" w:rsidRPr="00CC0320">
        <w:rPr>
          <w:rFonts w:cs="Arial"/>
          <w:szCs w:val="24"/>
        </w:rPr>
        <w:t>Greenhill Way was the better of the two sites</w:t>
      </w:r>
      <w:r w:rsidR="00A010F9" w:rsidRPr="00CC0320">
        <w:rPr>
          <w:rFonts w:cs="Arial"/>
          <w:szCs w:val="24"/>
        </w:rPr>
        <w:t xml:space="preserve">, as </w:t>
      </w:r>
      <w:r w:rsidR="00E35EBF" w:rsidRPr="00CC0320">
        <w:rPr>
          <w:rFonts w:cs="Arial"/>
          <w:szCs w:val="24"/>
        </w:rPr>
        <w:t>it was more easily developable</w:t>
      </w:r>
      <w:r w:rsidR="00C37978" w:rsidRPr="00CC0320">
        <w:rPr>
          <w:rFonts w:cs="Arial"/>
          <w:szCs w:val="24"/>
        </w:rPr>
        <w:t xml:space="preserve">; would form a good potential mixed use development site and </w:t>
      </w:r>
      <w:r w:rsidR="00D6621F" w:rsidRPr="00CC0320">
        <w:rPr>
          <w:rFonts w:cs="Arial"/>
          <w:szCs w:val="24"/>
        </w:rPr>
        <w:t>in addition would enable a better land value at Poets Corner, where the scheme was already facing challenges of viability and it was important not to</w:t>
      </w:r>
      <w:r w:rsidR="00144D14" w:rsidRPr="00CC0320">
        <w:rPr>
          <w:rFonts w:cs="Arial"/>
          <w:szCs w:val="24"/>
        </w:rPr>
        <w:t xml:space="preserve"> make this more difficult</w:t>
      </w:r>
      <w:r w:rsidR="00D6621F" w:rsidRPr="00CC0320">
        <w:rPr>
          <w:rFonts w:cs="Arial"/>
          <w:szCs w:val="24"/>
        </w:rPr>
        <w:t>.</w:t>
      </w:r>
      <w:r w:rsidR="009A17EB" w:rsidRPr="00CC0320">
        <w:rPr>
          <w:rFonts w:cs="Arial"/>
          <w:szCs w:val="24"/>
        </w:rPr>
        <w:t xml:space="preserve"> </w:t>
      </w:r>
    </w:p>
    <w:p w14:paraId="640EA387" w14:textId="77777777" w:rsidR="00A54F14" w:rsidRPr="00CC0320" w:rsidRDefault="00A54F14" w:rsidP="00CC637A">
      <w:pPr>
        <w:rPr>
          <w:rFonts w:cs="Arial"/>
          <w:szCs w:val="24"/>
        </w:rPr>
      </w:pPr>
    </w:p>
    <w:p w14:paraId="586E1D54" w14:textId="7CB26D0E" w:rsidR="009A17EB" w:rsidRPr="00CC0320" w:rsidRDefault="009A17EB" w:rsidP="00CC637A">
      <w:pPr>
        <w:rPr>
          <w:rFonts w:cs="Arial"/>
          <w:szCs w:val="24"/>
        </w:rPr>
      </w:pPr>
      <w:r w:rsidRPr="00CC0320">
        <w:rPr>
          <w:rFonts w:cs="Arial"/>
          <w:szCs w:val="24"/>
        </w:rPr>
        <w:t xml:space="preserve">The HSDP has carried out initial feasibility and has produced a scheme indicating </w:t>
      </w:r>
      <w:r w:rsidR="000E3B7D" w:rsidRPr="00CC0320">
        <w:rPr>
          <w:rFonts w:cs="Arial"/>
          <w:szCs w:val="24"/>
        </w:rPr>
        <w:t>that the Town Hall can be accommodated within the footprint of the car park and additional residential development can be delivered at the same time.</w:t>
      </w:r>
    </w:p>
    <w:p w14:paraId="48A80579" w14:textId="70E6C84C" w:rsidR="00B543D4" w:rsidRPr="00CC0320" w:rsidRDefault="00B543D4" w:rsidP="00CC637A">
      <w:pPr>
        <w:rPr>
          <w:rFonts w:cs="Arial"/>
          <w:szCs w:val="24"/>
        </w:rPr>
      </w:pPr>
    </w:p>
    <w:p w14:paraId="609F078A" w14:textId="405C8B8A" w:rsidR="00B543D4" w:rsidRPr="00CC0320" w:rsidRDefault="00B543D4" w:rsidP="00CC637A">
      <w:pPr>
        <w:rPr>
          <w:rFonts w:cs="Arial"/>
          <w:szCs w:val="24"/>
        </w:rPr>
      </w:pPr>
      <w:r w:rsidRPr="00CC0320">
        <w:rPr>
          <w:rFonts w:cs="Arial"/>
          <w:szCs w:val="24"/>
        </w:rPr>
        <w:t>The opportunity exists for mixed use including leisure</w:t>
      </w:r>
      <w:r w:rsidR="00A1784C" w:rsidRPr="00CC0320">
        <w:rPr>
          <w:rFonts w:cs="Arial"/>
          <w:szCs w:val="24"/>
        </w:rPr>
        <w:t xml:space="preserve"> </w:t>
      </w:r>
      <w:r w:rsidR="005C2BE9" w:rsidRPr="00CC0320">
        <w:rPr>
          <w:rFonts w:cs="Arial"/>
          <w:szCs w:val="24"/>
        </w:rPr>
        <w:t>and</w:t>
      </w:r>
      <w:r w:rsidR="002753D0" w:rsidRPr="00CC0320">
        <w:rPr>
          <w:rFonts w:cs="Arial"/>
          <w:szCs w:val="24"/>
        </w:rPr>
        <w:t xml:space="preserve"> </w:t>
      </w:r>
      <w:r w:rsidRPr="00CC0320">
        <w:rPr>
          <w:rFonts w:cs="Arial"/>
          <w:szCs w:val="24"/>
        </w:rPr>
        <w:t xml:space="preserve">residential </w:t>
      </w:r>
      <w:r w:rsidR="00B11EE8" w:rsidRPr="00CC0320">
        <w:rPr>
          <w:rFonts w:cs="Arial"/>
          <w:szCs w:val="24"/>
        </w:rPr>
        <w:t>with</w:t>
      </w:r>
      <w:r w:rsidR="00BF5993" w:rsidRPr="00CC0320">
        <w:rPr>
          <w:rFonts w:cs="Arial"/>
          <w:szCs w:val="24"/>
        </w:rPr>
        <w:t xml:space="preserve"> further discussions required</w:t>
      </w:r>
      <w:r w:rsidR="00F0122D" w:rsidRPr="00CC0320">
        <w:rPr>
          <w:rFonts w:cs="Arial"/>
          <w:szCs w:val="24"/>
        </w:rPr>
        <w:t>.</w:t>
      </w:r>
    </w:p>
    <w:p w14:paraId="2356868C" w14:textId="497468C6" w:rsidR="00F0122D" w:rsidRPr="00CC0320" w:rsidRDefault="00F0122D" w:rsidP="00CC637A">
      <w:pPr>
        <w:rPr>
          <w:rFonts w:cs="Arial"/>
          <w:szCs w:val="24"/>
        </w:rPr>
      </w:pPr>
    </w:p>
    <w:p w14:paraId="11E44B73" w14:textId="3939D70B" w:rsidR="00F0122D" w:rsidRPr="00CC0320" w:rsidRDefault="00F0122D" w:rsidP="00CC637A">
      <w:pPr>
        <w:rPr>
          <w:rFonts w:cs="Arial"/>
          <w:szCs w:val="24"/>
        </w:rPr>
      </w:pPr>
      <w:r w:rsidRPr="00CC0320">
        <w:rPr>
          <w:rFonts w:cs="Arial"/>
          <w:szCs w:val="24"/>
        </w:rPr>
        <w:t>Currently the HSDP is conducting more detailed feasibility studies and</w:t>
      </w:r>
      <w:r w:rsidR="002379F9" w:rsidRPr="00CC0320">
        <w:rPr>
          <w:rFonts w:cs="Arial"/>
          <w:szCs w:val="24"/>
        </w:rPr>
        <w:t xml:space="preserve"> ascertaining a realistic cost estimate to enable</w:t>
      </w:r>
      <w:r w:rsidR="0055347F" w:rsidRPr="00CC0320">
        <w:rPr>
          <w:rFonts w:cs="Arial"/>
          <w:szCs w:val="24"/>
        </w:rPr>
        <w:t xml:space="preserve"> a</w:t>
      </w:r>
      <w:r w:rsidR="002379F9" w:rsidRPr="00CC0320">
        <w:rPr>
          <w:rFonts w:cs="Arial"/>
          <w:szCs w:val="24"/>
        </w:rPr>
        <w:t xml:space="preserve"> formal decision in the near future</w:t>
      </w:r>
      <w:r w:rsidR="00FA24E3" w:rsidRPr="00CC0320">
        <w:rPr>
          <w:rFonts w:cs="Arial"/>
          <w:szCs w:val="24"/>
        </w:rPr>
        <w:t>.</w:t>
      </w:r>
    </w:p>
    <w:p w14:paraId="58CB9D6B" w14:textId="46892E17" w:rsidR="00AF02F9" w:rsidRPr="00DC3D12" w:rsidRDefault="000656EB" w:rsidP="00DC3D12">
      <w:pPr>
        <w:pStyle w:val="ListParagraph"/>
        <w:numPr>
          <w:ilvl w:val="0"/>
          <w:numId w:val="13"/>
        </w:numPr>
        <w:spacing w:before="240"/>
        <w:rPr>
          <w:rFonts w:cs="Arial"/>
          <w:b/>
          <w:i/>
          <w:iCs/>
          <w:szCs w:val="24"/>
        </w:rPr>
      </w:pPr>
      <w:r w:rsidRPr="00DC3D12">
        <w:rPr>
          <w:rFonts w:cs="Arial"/>
          <w:b/>
          <w:i/>
          <w:iCs/>
          <w:szCs w:val="24"/>
        </w:rPr>
        <w:t>Poets Corner</w:t>
      </w:r>
    </w:p>
    <w:p w14:paraId="3F55AAB3" w14:textId="2AEAB171" w:rsidR="00D63082" w:rsidRPr="00CC0320" w:rsidRDefault="00D63082" w:rsidP="001472A8">
      <w:pPr>
        <w:spacing w:before="240"/>
        <w:rPr>
          <w:rFonts w:cs="Arial"/>
          <w:bCs/>
          <w:szCs w:val="24"/>
        </w:rPr>
      </w:pPr>
      <w:r w:rsidRPr="00CC0320">
        <w:rPr>
          <w:rFonts w:cs="Arial"/>
          <w:bCs/>
          <w:szCs w:val="24"/>
        </w:rPr>
        <w:t>Following the review</w:t>
      </w:r>
      <w:r w:rsidR="00D73AC7" w:rsidRPr="00CC0320">
        <w:rPr>
          <w:rFonts w:cs="Arial"/>
          <w:bCs/>
          <w:szCs w:val="24"/>
        </w:rPr>
        <w:t>,</w:t>
      </w:r>
      <w:r w:rsidRPr="00CC0320">
        <w:rPr>
          <w:rFonts w:cs="Arial"/>
          <w:bCs/>
          <w:szCs w:val="24"/>
        </w:rPr>
        <w:t xml:space="preserve"> a</w:t>
      </w:r>
      <w:r w:rsidR="00FA24E3" w:rsidRPr="00CC0320">
        <w:rPr>
          <w:rFonts w:cs="Arial"/>
          <w:bCs/>
          <w:szCs w:val="24"/>
        </w:rPr>
        <w:t xml:space="preserve"> new</w:t>
      </w:r>
      <w:r w:rsidRPr="00CC0320">
        <w:rPr>
          <w:rFonts w:cs="Arial"/>
          <w:bCs/>
          <w:szCs w:val="24"/>
        </w:rPr>
        <w:t xml:space="preserve"> scheme is under production</w:t>
      </w:r>
      <w:r w:rsidR="00BF77BC" w:rsidRPr="00CC0320">
        <w:rPr>
          <w:rFonts w:cs="Arial"/>
          <w:bCs/>
          <w:szCs w:val="24"/>
        </w:rPr>
        <w:t xml:space="preserve"> which incorporates better use of space, </w:t>
      </w:r>
      <w:r w:rsidR="00065A84" w:rsidRPr="00CC0320">
        <w:rPr>
          <w:rFonts w:cs="Arial"/>
          <w:bCs/>
          <w:szCs w:val="24"/>
        </w:rPr>
        <w:t xml:space="preserve">preservation of the existing trees, </w:t>
      </w:r>
      <w:r w:rsidR="009F06A6" w:rsidRPr="00CC0320">
        <w:rPr>
          <w:rFonts w:cs="Arial"/>
          <w:bCs/>
          <w:szCs w:val="24"/>
        </w:rPr>
        <w:t xml:space="preserve">improved public realm </w:t>
      </w:r>
      <w:r w:rsidR="0091258A" w:rsidRPr="00CC0320">
        <w:rPr>
          <w:rFonts w:cs="Arial"/>
          <w:bCs/>
          <w:szCs w:val="24"/>
        </w:rPr>
        <w:t>and an effective route through the site to the station.</w:t>
      </w:r>
      <w:r w:rsidR="0045326D" w:rsidRPr="00CC0320">
        <w:rPr>
          <w:rFonts w:cs="Arial"/>
          <w:bCs/>
          <w:szCs w:val="24"/>
        </w:rPr>
        <w:t xml:space="preserve"> The maximum height is </w:t>
      </w:r>
      <w:r w:rsidR="0045326D" w:rsidRPr="00CC0320">
        <w:rPr>
          <w:rFonts w:cs="Arial"/>
          <w:bCs/>
          <w:szCs w:val="24"/>
        </w:rPr>
        <w:lastRenderedPageBreak/>
        <w:t>now 10 storeys rather than 17</w:t>
      </w:r>
      <w:r w:rsidR="00BD117E" w:rsidRPr="00CC0320">
        <w:rPr>
          <w:rFonts w:cs="Arial"/>
          <w:bCs/>
          <w:szCs w:val="24"/>
        </w:rPr>
        <w:t xml:space="preserve">. This scheme is </w:t>
      </w:r>
      <w:r w:rsidR="00E54C76" w:rsidRPr="00CC0320">
        <w:rPr>
          <w:rFonts w:cs="Arial"/>
          <w:bCs/>
          <w:szCs w:val="24"/>
        </w:rPr>
        <w:t>in development</w:t>
      </w:r>
      <w:r w:rsidR="0033126F" w:rsidRPr="00CC0320">
        <w:rPr>
          <w:rFonts w:cs="Arial"/>
          <w:bCs/>
          <w:szCs w:val="24"/>
        </w:rPr>
        <w:t>,</w:t>
      </w:r>
      <w:r w:rsidR="00E54C76" w:rsidRPr="00CC0320">
        <w:rPr>
          <w:rFonts w:cs="Arial"/>
          <w:bCs/>
          <w:szCs w:val="24"/>
        </w:rPr>
        <w:t xml:space="preserve"> </w:t>
      </w:r>
      <w:r w:rsidR="00BD117E" w:rsidRPr="00CC0320">
        <w:rPr>
          <w:rFonts w:cs="Arial"/>
          <w:bCs/>
          <w:szCs w:val="24"/>
        </w:rPr>
        <w:t>and it is expected that</w:t>
      </w:r>
      <w:r w:rsidR="00BD64EC" w:rsidRPr="00CC0320">
        <w:rPr>
          <w:rFonts w:cs="Arial"/>
          <w:bCs/>
          <w:szCs w:val="24"/>
        </w:rPr>
        <w:t xml:space="preserve"> the Business Plan for this will come forward in the </w:t>
      </w:r>
      <w:r w:rsidR="003368F0" w:rsidRPr="00CC0320">
        <w:rPr>
          <w:rFonts w:cs="Arial"/>
          <w:bCs/>
          <w:szCs w:val="24"/>
        </w:rPr>
        <w:t>early 2023</w:t>
      </w:r>
      <w:r w:rsidR="00BD64EC" w:rsidRPr="00CC0320">
        <w:rPr>
          <w:rFonts w:cs="Arial"/>
          <w:bCs/>
          <w:szCs w:val="24"/>
        </w:rPr>
        <w:t>.</w:t>
      </w:r>
      <w:r w:rsidR="00E22CEE" w:rsidRPr="00CC0320">
        <w:rPr>
          <w:rFonts w:cs="Arial"/>
          <w:bCs/>
          <w:szCs w:val="24"/>
        </w:rPr>
        <w:t xml:space="preserve"> </w:t>
      </w:r>
    </w:p>
    <w:p w14:paraId="0CAB9FFB" w14:textId="36618829" w:rsidR="00D63082" w:rsidRPr="00DC3D12" w:rsidRDefault="000E0918" w:rsidP="00DC3D12">
      <w:pPr>
        <w:pStyle w:val="ListParagraph"/>
        <w:numPr>
          <w:ilvl w:val="0"/>
          <w:numId w:val="13"/>
        </w:numPr>
        <w:spacing w:before="240"/>
        <w:rPr>
          <w:rFonts w:cs="Arial"/>
          <w:b/>
          <w:i/>
          <w:iCs/>
          <w:szCs w:val="24"/>
        </w:rPr>
      </w:pPr>
      <w:r w:rsidRPr="00DC3D12">
        <w:rPr>
          <w:rFonts w:cs="Arial"/>
          <w:b/>
          <w:i/>
          <w:iCs/>
          <w:szCs w:val="24"/>
        </w:rPr>
        <w:t>Milton Road</w:t>
      </w:r>
    </w:p>
    <w:p w14:paraId="2721B3DF" w14:textId="1C8DC7DB" w:rsidR="004A6D3A" w:rsidRPr="00CC0320" w:rsidRDefault="004A6D3A" w:rsidP="001472A8">
      <w:pPr>
        <w:spacing w:before="240"/>
        <w:rPr>
          <w:rFonts w:cs="Arial"/>
          <w:bCs/>
          <w:szCs w:val="24"/>
        </w:rPr>
      </w:pPr>
      <w:r w:rsidRPr="00CC0320">
        <w:rPr>
          <w:rFonts w:cs="Arial"/>
          <w:bCs/>
          <w:szCs w:val="24"/>
        </w:rPr>
        <w:t>Milton Road was incorporated into the HSDP in November 2021</w:t>
      </w:r>
      <w:r w:rsidR="00FB199A" w:rsidRPr="00CC0320">
        <w:rPr>
          <w:rFonts w:cs="Arial"/>
          <w:bCs/>
          <w:szCs w:val="24"/>
        </w:rPr>
        <w:t xml:space="preserve"> and planning consent was granted for a seven </w:t>
      </w:r>
      <w:r w:rsidR="00D07A10" w:rsidRPr="00CC0320">
        <w:rPr>
          <w:rFonts w:cs="Arial"/>
          <w:bCs/>
          <w:szCs w:val="24"/>
        </w:rPr>
        <w:t>-</w:t>
      </w:r>
      <w:r w:rsidR="00FB199A" w:rsidRPr="00CC0320">
        <w:rPr>
          <w:rFonts w:cs="Arial"/>
          <w:bCs/>
          <w:szCs w:val="24"/>
        </w:rPr>
        <w:t xml:space="preserve">storey building comprising 29 flats and </w:t>
      </w:r>
      <w:r w:rsidR="00D07A10" w:rsidRPr="00CC0320">
        <w:rPr>
          <w:rFonts w:cs="Arial"/>
          <w:bCs/>
          <w:szCs w:val="24"/>
        </w:rPr>
        <w:t>10 associated town houses.</w:t>
      </w:r>
      <w:r w:rsidR="00FB199A" w:rsidRPr="00CC0320">
        <w:rPr>
          <w:rFonts w:cs="Arial"/>
          <w:bCs/>
          <w:szCs w:val="24"/>
        </w:rPr>
        <w:t xml:space="preserve"> </w:t>
      </w:r>
    </w:p>
    <w:p w14:paraId="51CF7ED6" w14:textId="40444DBF" w:rsidR="006A0AA5" w:rsidRPr="00CC0320" w:rsidRDefault="000D105D" w:rsidP="001472A8">
      <w:pPr>
        <w:spacing w:before="240"/>
        <w:rPr>
          <w:rFonts w:cs="Arial"/>
          <w:bCs/>
          <w:szCs w:val="24"/>
        </w:rPr>
      </w:pPr>
      <w:r w:rsidRPr="00CC0320">
        <w:rPr>
          <w:rFonts w:cs="Arial"/>
          <w:bCs/>
          <w:szCs w:val="24"/>
        </w:rPr>
        <w:t xml:space="preserve">The review considered the height of the building and as a result has removed one story with a </w:t>
      </w:r>
      <w:r w:rsidR="008313FE" w:rsidRPr="00CC0320">
        <w:rPr>
          <w:rFonts w:cs="Arial"/>
          <w:bCs/>
          <w:szCs w:val="24"/>
        </w:rPr>
        <w:t xml:space="preserve">reduction </w:t>
      </w:r>
      <w:r w:rsidRPr="00CC0320">
        <w:rPr>
          <w:rFonts w:cs="Arial"/>
          <w:bCs/>
          <w:szCs w:val="24"/>
        </w:rPr>
        <w:t>of three units</w:t>
      </w:r>
      <w:r w:rsidR="00104190" w:rsidRPr="00CC0320">
        <w:rPr>
          <w:rFonts w:cs="Arial"/>
          <w:bCs/>
          <w:szCs w:val="24"/>
        </w:rPr>
        <w:t xml:space="preserve">. Consideration of the tenure mix found that a switch from </w:t>
      </w:r>
      <w:r w:rsidR="00246961" w:rsidRPr="00CC0320">
        <w:rPr>
          <w:rFonts w:cs="Arial"/>
          <w:bCs/>
          <w:szCs w:val="24"/>
        </w:rPr>
        <w:t>shared ownership to private sale brought no benefits in viability terms and would have resulted in a loss of grant.</w:t>
      </w:r>
    </w:p>
    <w:p w14:paraId="16FDE7FF" w14:textId="70B4D1DD" w:rsidR="006A0AA5" w:rsidRPr="00CC0320" w:rsidRDefault="006A0AA5" w:rsidP="001472A8">
      <w:pPr>
        <w:spacing w:before="240"/>
        <w:rPr>
          <w:rFonts w:cs="Arial"/>
          <w:bCs/>
          <w:szCs w:val="24"/>
        </w:rPr>
      </w:pPr>
      <w:r w:rsidRPr="00CC0320">
        <w:rPr>
          <w:rFonts w:cs="Arial"/>
          <w:bCs/>
          <w:szCs w:val="24"/>
        </w:rPr>
        <w:t>The scheme now comprises</w:t>
      </w:r>
      <w:r w:rsidR="00BA668A" w:rsidRPr="00CC0320">
        <w:rPr>
          <w:rFonts w:cs="Arial"/>
          <w:bCs/>
          <w:szCs w:val="24"/>
        </w:rPr>
        <w:t xml:space="preserve"> </w:t>
      </w:r>
      <w:r w:rsidR="00F25F10" w:rsidRPr="00CC0320">
        <w:rPr>
          <w:rFonts w:cs="Arial"/>
          <w:bCs/>
          <w:szCs w:val="24"/>
        </w:rPr>
        <w:t xml:space="preserve">36 </w:t>
      </w:r>
      <w:r w:rsidR="00BA668A" w:rsidRPr="00CC0320">
        <w:rPr>
          <w:rFonts w:cs="Arial"/>
          <w:bCs/>
          <w:szCs w:val="24"/>
        </w:rPr>
        <w:t>units of which</w:t>
      </w:r>
      <w:r w:rsidR="008D52FD" w:rsidRPr="00CC0320">
        <w:rPr>
          <w:rFonts w:cs="Arial"/>
          <w:bCs/>
          <w:szCs w:val="24"/>
        </w:rPr>
        <w:t xml:space="preserve"> </w:t>
      </w:r>
      <w:r w:rsidR="00E44EAC" w:rsidRPr="00CC0320">
        <w:rPr>
          <w:rFonts w:cs="Arial"/>
          <w:bCs/>
          <w:szCs w:val="24"/>
        </w:rPr>
        <w:t xml:space="preserve">10 are </w:t>
      </w:r>
      <w:r w:rsidR="008D52FD" w:rsidRPr="00CC0320">
        <w:rPr>
          <w:rFonts w:cs="Arial"/>
          <w:bCs/>
          <w:szCs w:val="24"/>
        </w:rPr>
        <w:t>houses for rent</w:t>
      </w:r>
      <w:r w:rsidR="00644E04">
        <w:rPr>
          <w:rFonts w:cs="Arial"/>
          <w:bCs/>
          <w:szCs w:val="24"/>
        </w:rPr>
        <w:t>, 2 are wheelchair flats</w:t>
      </w:r>
      <w:r w:rsidR="008D52FD" w:rsidRPr="00CC0320">
        <w:rPr>
          <w:rFonts w:cs="Arial"/>
          <w:bCs/>
          <w:szCs w:val="24"/>
        </w:rPr>
        <w:t xml:space="preserve"> and </w:t>
      </w:r>
      <w:r w:rsidR="00E44EAC" w:rsidRPr="00CC0320">
        <w:rPr>
          <w:rFonts w:cs="Arial"/>
          <w:bCs/>
          <w:szCs w:val="24"/>
        </w:rPr>
        <w:t>2</w:t>
      </w:r>
      <w:r w:rsidR="00644E04">
        <w:rPr>
          <w:rFonts w:cs="Arial"/>
          <w:bCs/>
          <w:szCs w:val="24"/>
        </w:rPr>
        <w:t>4</w:t>
      </w:r>
      <w:r w:rsidR="00E44EAC" w:rsidRPr="00CC0320">
        <w:rPr>
          <w:rFonts w:cs="Arial"/>
          <w:bCs/>
          <w:szCs w:val="24"/>
        </w:rPr>
        <w:t xml:space="preserve"> are </w:t>
      </w:r>
      <w:r w:rsidR="008D52FD" w:rsidRPr="00CC0320">
        <w:rPr>
          <w:rFonts w:cs="Arial"/>
          <w:bCs/>
          <w:szCs w:val="24"/>
        </w:rPr>
        <w:t>shared ownership</w:t>
      </w:r>
      <w:r w:rsidR="00E44EAC" w:rsidRPr="00CC0320">
        <w:rPr>
          <w:rFonts w:cs="Arial"/>
          <w:bCs/>
          <w:szCs w:val="24"/>
        </w:rPr>
        <w:t xml:space="preserve"> flats</w:t>
      </w:r>
      <w:r w:rsidR="008D52FD" w:rsidRPr="00CC0320">
        <w:rPr>
          <w:rFonts w:cs="Arial"/>
          <w:bCs/>
          <w:szCs w:val="24"/>
        </w:rPr>
        <w:t xml:space="preserve">. </w:t>
      </w:r>
      <w:r w:rsidR="00AC32BC" w:rsidRPr="00CC0320">
        <w:rPr>
          <w:rFonts w:cs="Arial"/>
          <w:bCs/>
          <w:szCs w:val="24"/>
        </w:rPr>
        <w:t>Civic 9 has been demolished and the site is largely development ready.</w:t>
      </w:r>
      <w:r w:rsidR="00D07A10" w:rsidRPr="00CC0320">
        <w:rPr>
          <w:rFonts w:cs="Arial"/>
          <w:bCs/>
          <w:szCs w:val="24"/>
        </w:rPr>
        <w:t xml:space="preserve"> A new application varying the existing planning consent will be submitted shortly</w:t>
      </w:r>
      <w:r w:rsidR="009746C2" w:rsidRPr="00CC0320">
        <w:rPr>
          <w:rFonts w:cs="Arial"/>
          <w:bCs/>
          <w:szCs w:val="24"/>
        </w:rPr>
        <w:t>.</w:t>
      </w:r>
    </w:p>
    <w:p w14:paraId="04449B95" w14:textId="3BB71F3D" w:rsidR="003017F7" w:rsidRPr="00CC0320" w:rsidRDefault="003017F7" w:rsidP="001472A8">
      <w:pPr>
        <w:spacing w:before="240"/>
        <w:rPr>
          <w:rFonts w:cs="Arial"/>
          <w:bCs/>
          <w:szCs w:val="24"/>
        </w:rPr>
      </w:pPr>
      <w:r w:rsidRPr="00CC0320">
        <w:rPr>
          <w:rFonts w:cs="Arial"/>
          <w:bCs/>
          <w:szCs w:val="24"/>
        </w:rPr>
        <w:t>Th</w:t>
      </w:r>
      <w:r w:rsidR="00155A6E" w:rsidRPr="00CC0320">
        <w:rPr>
          <w:rFonts w:cs="Arial"/>
          <w:bCs/>
          <w:szCs w:val="24"/>
        </w:rPr>
        <w:t>e changes to Milton Road</w:t>
      </w:r>
      <w:r w:rsidR="005B2A4F" w:rsidRPr="00CC0320">
        <w:rPr>
          <w:rFonts w:cs="Arial"/>
          <w:bCs/>
          <w:szCs w:val="24"/>
        </w:rPr>
        <w:t xml:space="preserve"> were</w:t>
      </w:r>
      <w:r w:rsidRPr="00CC0320">
        <w:rPr>
          <w:rFonts w:cs="Arial"/>
          <w:bCs/>
          <w:szCs w:val="24"/>
        </w:rPr>
        <w:t xml:space="preserve"> approved by Cabinet </w:t>
      </w:r>
      <w:r w:rsidR="00975F7A" w:rsidRPr="00CC0320">
        <w:rPr>
          <w:rFonts w:cs="Arial"/>
          <w:bCs/>
          <w:szCs w:val="24"/>
        </w:rPr>
        <w:t>on the</w:t>
      </w:r>
      <w:r w:rsidRPr="00CC0320">
        <w:rPr>
          <w:rFonts w:cs="Arial"/>
          <w:bCs/>
          <w:szCs w:val="24"/>
        </w:rPr>
        <w:t xml:space="preserve"> 13</w:t>
      </w:r>
      <w:r w:rsidRPr="00CC0320">
        <w:rPr>
          <w:rFonts w:cs="Arial"/>
          <w:bCs/>
          <w:szCs w:val="24"/>
          <w:vertAlign w:val="superscript"/>
        </w:rPr>
        <w:t>th</w:t>
      </w:r>
      <w:r w:rsidRPr="00CC0320">
        <w:rPr>
          <w:rFonts w:cs="Arial"/>
          <w:bCs/>
          <w:szCs w:val="24"/>
        </w:rPr>
        <w:t xml:space="preserve"> October 2022.</w:t>
      </w:r>
    </w:p>
    <w:p w14:paraId="4F4B6FEB" w14:textId="47FF5A39" w:rsidR="004A6D3A" w:rsidRPr="00CC0320" w:rsidRDefault="004A6D3A" w:rsidP="001472A8">
      <w:pPr>
        <w:spacing w:before="240"/>
        <w:rPr>
          <w:rFonts w:cs="Arial"/>
          <w:bCs/>
          <w:szCs w:val="24"/>
        </w:rPr>
      </w:pPr>
      <w:r w:rsidRPr="00CC0320">
        <w:rPr>
          <w:rFonts w:cs="Arial"/>
          <w:bCs/>
          <w:szCs w:val="24"/>
        </w:rPr>
        <w:t>Agreeing the final cost plan</w:t>
      </w:r>
      <w:r w:rsidR="00D07A10" w:rsidRPr="00CC0320">
        <w:rPr>
          <w:rFonts w:cs="Arial"/>
          <w:bCs/>
          <w:szCs w:val="24"/>
        </w:rPr>
        <w:t xml:space="preserve"> </w:t>
      </w:r>
      <w:r w:rsidR="009746C2" w:rsidRPr="00CC0320">
        <w:rPr>
          <w:rFonts w:cs="Arial"/>
          <w:bCs/>
          <w:szCs w:val="24"/>
        </w:rPr>
        <w:t xml:space="preserve">with Wates Construction Ltd </w:t>
      </w:r>
      <w:r w:rsidR="00D07A10" w:rsidRPr="00CC0320">
        <w:rPr>
          <w:rFonts w:cs="Arial"/>
          <w:bCs/>
          <w:szCs w:val="24"/>
        </w:rPr>
        <w:t xml:space="preserve">has proved </w:t>
      </w:r>
      <w:r w:rsidR="00EB28A3" w:rsidRPr="00CC0320">
        <w:rPr>
          <w:rFonts w:cs="Arial"/>
          <w:bCs/>
          <w:szCs w:val="24"/>
        </w:rPr>
        <w:t xml:space="preserve">extremely </w:t>
      </w:r>
      <w:r w:rsidR="009746C2" w:rsidRPr="00CC0320">
        <w:rPr>
          <w:rFonts w:cs="Arial"/>
          <w:bCs/>
          <w:szCs w:val="24"/>
        </w:rPr>
        <w:t>challenging, particularly as a result of the current build cost inflation.</w:t>
      </w:r>
      <w:r w:rsidR="00563E0B" w:rsidRPr="00CC0320">
        <w:rPr>
          <w:rFonts w:cs="Arial"/>
          <w:bCs/>
          <w:szCs w:val="24"/>
        </w:rPr>
        <w:t xml:space="preserve"> </w:t>
      </w:r>
      <w:r w:rsidR="007640D2" w:rsidRPr="00CC0320">
        <w:rPr>
          <w:rFonts w:cs="Arial"/>
          <w:bCs/>
          <w:szCs w:val="24"/>
        </w:rPr>
        <w:t>The f</w:t>
      </w:r>
      <w:r w:rsidR="004A2907" w:rsidRPr="00CC0320">
        <w:rPr>
          <w:rFonts w:cs="Arial"/>
          <w:bCs/>
          <w:szCs w:val="24"/>
        </w:rPr>
        <w:t xml:space="preserve">inal cost </w:t>
      </w:r>
      <w:r w:rsidR="007640D2" w:rsidRPr="00CC0320">
        <w:rPr>
          <w:rFonts w:cs="Arial"/>
          <w:bCs/>
          <w:szCs w:val="24"/>
        </w:rPr>
        <w:t>plan</w:t>
      </w:r>
      <w:r w:rsidR="004A2907" w:rsidRPr="00CC0320">
        <w:rPr>
          <w:rFonts w:cs="Arial"/>
          <w:bCs/>
          <w:szCs w:val="24"/>
        </w:rPr>
        <w:t xml:space="preserve"> </w:t>
      </w:r>
      <w:r w:rsidR="007640D2" w:rsidRPr="00CC0320">
        <w:rPr>
          <w:rFonts w:cs="Arial"/>
          <w:bCs/>
          <w:szCs w:val="24"/>
        </w:rPr>
        <w:t>is</w:t>
      </w:r>
      <w:r w:rsidR="004A2907" w:rsidRPr="00CC0320">
        <w:rPr>
          <w:rFonts w:cs="Arial"/>
          <w:bCs/>
          <w:szCs w:val="24"/>
        </w:rPr>
        <w:t xml:space="preserve"> due imminently and it is anticipated that this should be reported </w:t>
      </w:r>
      <w:r w:rsidR="005E1FC3" w:rsidRPr="00CC0320">
        <w:rPr>
          <w:rFonts w:cs="Arial"/>
          <w:bCs/>
          <w:szCs w:val="24"/>
        </w:rPr>
        <w:t>at</w:t>
      </w:r>
      <w:r w:rsidR="004A2907" w:rsidRPr="00CC0320">
        <w:rPr>
          <w:rFonts w:cs="Arial"/>
          <w:bCs/>
          <w:szCs w:val="24"/>
        </w:rPr>
        <w:t xml:space="preserve"> </w:t>
      </w:r>
      <w:r w:rsidR="0006142E" w:rsidRPr="00CC0320">
        <w:rPr>
          <w:rFonts w:cs="Arial"/>
          <w:bCs/>
          <w:szCs w:val="24"/>
        </w:rPr>
        <w:t>the</w:t>
      </w:r>
      <w:r w:rsidR="004A2907" w:rsidRPr="00CC0320">
        <w:rPr>
          <w:rFonts w:cs="Arial"/>
          <w:bCs/>
          <w:szCs w:val="24"/>
        </w:rPr>
        <w:t xml:space="preserve"> next </w:t>
      </w:r>
      <w:r w:rsidR="0006142E" w:rsidRPr="00CC0320">
        <w:rPr>
          <w:rFonts w:cs="Arial"/>
          <w:bCs/>
          <w:szCs w:val="24"/>
        </w:rPr>
        <w:t xml:space="preserve">Cabinet </w:t>
      </w:r>
      <w:r w:rsidR="004A2907" w:rsidRPr="00CC0320">
        <w:rPr>
          <w:rFonts w:cs="Arial"/>
          <w:bCs/>
          <w:szCs w:val="24"/>
        </w:rPr>
        <w:t>meeting.</w:t>
      </w:r>
    </w:p>
    <w:p w14:paraId="51ADDD5F" w14:textId="29A5F704" w:rsidR="006671B7" w:rsidRPr="00DC3D12" w:rsidRDefault="00DC3D12" w:rsidP="001472A8">
      <w:pPr>
        <w:spacing w:before="240"/>
        <w:rPr>
          <w:rFonts w:ascii="Arial Black" w:hAnsi="Arial Black" w:cs="Arial"/>
          <w:b/>
          <w:szCs w:val="24"/>
        </w:rPr>
      </w:pPr>
      <w:r w:rsidRPr="00DC3D12">
        <w:rPr>
          <w:rFonts w:ascii="Arial Black" w:hAnsi="Arial Black" w:cs="Arial"/>
          <w:b/>
          <w:szCs w:val="24"/>
        </w:rPr>
        <w:t xml:space="preserve">2.5 </w:t>
      </w:r>
      <w:r w:rsidR="006671B7" w:rsidRPr="00DC3D12">
        <w:rPr>
          <w:rFonts w:ascii="Arial Black" w:hAnsi="Arial Black" w:cs="Arial"/>
          <w:b/>
          <w:szCs w:val="24"/>
        </w:rPr>
        <w:t>Next steps</w:t>
      </w:r>
    </w:p>
    <w:p w14:paraId="3D8E7D6C" w14:textId="390AD41F" w:rsidR="000B53A1" w:rsidRDefault="000B53A1" w:rsidP="001472A8">
      <w:pPr>
        <w:spacing w:before="240"/>
        <w:rPr>
          <w:rFonts w:cs="Arial"/>
          <w:bCs/>
          <w:szCs w:val="24"/>
        </w:rPr>
      </w:pPr>
      <w:r w:rsidRPr="00CC0320">
        <w:rPr>
          <w:rFonts w:cs="Arial"/>
          <w:bCs/>
          <w:szCs w:val="24"/>
        </w:rPr>
        <w:t>Cabinet will be asked to consider</w:t>
      </w:r>
      <w:r w:rsidR="00880D45" w:rsidRPr="00CC0320">
        <w:rPr>
          <w:rFonts w:cs="Arial"/>
          <w:bCs/>
          <w:szCs w:val="24"/>
        </w:rPr>
        <w:t xml:space="preserve"> the Business Plan</w:t>
      </w:r>
      <w:r w:rsidRPr="00CC0320">
        <w:rPr>
          <w:rFonts w:cs="Arial"/>
          <w:bCs/>
          <w:szCs w:val="24"/>
        </w:rPr>
        <w:t xml:space="preserve"> reports </w:t>
      </w:r>
      <w:r w:rsidR="00880D45" w:rsidRPr="00CC0320">
        <w:rPr>
          <w:rFonts w:cs="Arial"/>
          <w:bCs/>
          <w:szCs w:val="24"/>
        </w:rPr>
        <w:t>for</w:t>
      </w:r>
      <w:r w:rsidRPr="00CC0320">
        <w:rPr>
          <w:rFonts w:cs="Arial"/>
          <w:bCs/>
          <w:szCs w:val="24"/>
        </w:rPr>
        <w:t xml:space="preserve"> Byron Quarter and Peel Road in January</w:t>
      </w:r>
      <w:r w:rsidR="000A3F90" w:rsidRPr="00CC0320">
        <w:rPr>
          <w:rFonts w:cs="Arial"/>
          <w:bCs/>
          <w:szCs w:val="24"/>
        </w:rPr>
        <w:t xml:space="preserve"> 2023</w:t>
      </w:r>
      <w:r w:rsidRPr="00CC0320">
        <w:rPr>
          <w:rFonts w:cs="Arial"/>
          <w:bCs/>
          <w:szCs w:val="24"/>
        </w:rPr>
        <w:t xml:space="preserve"> and Poets Corner shortly there</w:t>
      </w:r>
      <w:r w:rsidR="005656FD" w:rsidRPr="00CC0320">
        <w:rPr>
          <w:rFonts w:cs="Arial"/>
          <w:bCs/>
          <w:szCs w:val="24"/>
        </w:rPr>
        <w:t>a</w:t>
      </w:r>
      <w:r w:rsidRPr="00CC0320">
        <w:rPr>
          <w:rFonts w:cs="Arial"/>
          <w:bCs/>
          <w:szCs w:val="24"/>
        </w:rPr>
        <w:t>fter</w:t>
      </w:r>
      <w:r w:rsidR="005656FD" w:rsidRPr="00CC0320">
        <w:rPr>
          <w:rFonts w:cs="Arial"/>
          <w:bCs/>
          <w:szCs w:val="24"/>
        </w:rPr>
        <w:t xml:space="preserve">. It is expected that a report on the approach to the Town Hall and Greenhill Way site </w:t>
      </w:r>
      <w:r w:rsidR="00AD477D" w:rsidRPr="00CC0320">
        <w:rPr>
          <w:rFonts w:cs="Arial"/>
          <w:bCs/>
          <w:szCs w:val="24"/>
        </w:rPr>
        <w:t xml:space="preserve">will also </w:t>
      </w:r>
      <w:r w:rsidR="005656FD" w:rsidRPr="00CC0320">
        <w:rPr>
          <w:rFonts w:cs="Arial"/>
          <w:bCs/>
          <w:szCs w:val="24"/>
        </w:rPr>
        <w:t xml:space="preserve">be available </w:t>
      </w:r>
      <w:r w:rsidR="00AD477D" w:rsidRPr="00CC0320">
        <w:rPr>
          <w:rFonts w:cs="Arial"/>
          <w:bCs/>
          <w:szCs w:val="24"/>
        </w:rPr>
        <w:t xml:space="preserve">in </w:t>
      </w:r>
      <w:r w:rsidR="00EE44FF" w:rsidRPr="00CC0320">
        <w:rPr>
          <w:rFonts w:cs="Arial"/>
          <w:bCs/>
          <w:szCs w:val="24"/>
        </w:rPr>
        <w:t>early 2023</w:t>
      </w:r>
      <w:r w:rsidR="00AD477D" w:rsidRPr="00CC0320">
        <w:rPr>
          <w:rFonts w:cs="Arial"/>
          <w:bCs/>
          <w:szCs w:val="24"/>
        </w:rPr>
        <w:t xml:space="preserve"> but it may be possible to bring this forward. </w:t>
      </w:r>
      <w:r w:rsidR="009D70D5" w:rsidRPr="00CC0320">
        <w:rPr>
          <w:rFonts w:cs="Arial"/>
          <w:bCs/>
          <w:szCs w:val="24"/>
        </w:rPr>
        <w:t xml:space="preserve">Final </w:t>
      </w:r>
      <w:r w:rsidR="00EE44FF" w:rsidRPr="00CC0320">
        <w:rPr>
          <w:rFonts w:cs="Arial"/>
          <w:bCs/>
          <w:szCs w:val="24"/>
        </w:rPr>
        <w:t xml:space="preserve">cost plan </w:t>
      </w:r>
      <w:r w:rsidR="009D70D5" w:rsidRPr="00CC0320">
        <w:rPr>
          <w:rFonts w:cs="Arial"/>
          <w:bCs/>
          <w:szCs w:val="24"/>
        </w:rPr>
        <w:t>details on Milton Road should be available for the December Cabinet.</w:t>
      </w:r>
    </w:p>
    <w:p w14:paraId="48F37DB5" w14:textId="33C89ED8" w:rsidR="00F159A9" w:rsidRPr="00DD1436" w:rsidRDefault="00643411" w:rsidP="00DD1436">
      <w:pPr>
        <w:pStyle w:val="ListParagraph"/>
        <w:numPr>
          <w:ilvl w:val="1"/>
          <w:numId w:val="22"/>
        </w:numPr>
        <w:spacing w:before="240"/>
        <w:rPr>
          <w:rFonts w:cs="Arial"/>
          <w:b/>
          <w:szCs w:val="24"/>
        </w:rPr>
      </w:pPr>
      <w:r>
        <w:rPr>
          <w:rFonts w:cs="Arial"/>
          <w:b/>
          <w:szCs w:val="24"/>
        </w:rPr>
        <w:t xml:space="preserve"> </w:t>
      </w:r>
      <w:r w:rsidR="00F159A9" w:rsidRPr="00DD1436">
        <w:rPr>
          <w:rFonts w:cs="Arial"/>
          <w:b/>
          <w:szCs w:val="24"/>
        </w:rPr>
        <w:t>Grange Farm</w:t>
      </w:r>
    </w:p>
    <w:p w14:paraId="7EB639C3" w14:textId="08A5FF44" w:rsidR="00522A09" w:rsidRPr="00CC0320" w:rsidRDefault="00A50FB4" w:rsidP="001472A8">
      <w:pPr>
        <w:spacing w:before="240"/>
        <w:rPr>
          <w:rFonts w:cs="Arial"/>
          <w:bCs/>
          <w:szCs w:val="24"/>
        </w:rPr>
      </w:pPr>
      <w:r w:rsidRPr="00CC0320">
        <w:rPr>
          <w:rFonts w:cs="Arial"/>
          <w:bCs/>
          <w:szCs w:val="24"/>
        </w:rPr>
        <w:t xml:space="preserve">The regeneration of the Grange </w:t>
      </w:r>
      <w:r w:rsidR="00643411">
        <w:rPr>
          <w:rFonts w:cs="Arial"/>
          <w:bCs/>
          <w:szCs w:val="24"/>
        </w:rPr>
        <w:t>F</w:t>
      </w:r>
      <w:r w:rsidRPr="00CC0320">
        <w:rPr>
          <w:rFonts w:cs="Arial"/>
          <w:bCs/>
          <w:szCs w:val="24"/>
        </w:rPr>
        <w:t>arm estate enables the r</w:t>
      </w:r>
      <w:r w:rsidR="00F7520E" w:rsidRPr="00CC0320">
        <w:rPr>
          <w:rFonts w:cs="Arial"/>
          <w:bCs/>
          <w:szCs w:val="24"/>
        </w:rPr>
        <w:t xml:space="preserve">eplacement of the existing poor quality social housing with a high </w:t>
      </w:r>
      <w:r w:rsidR="00711DD4" w:rsidRPr="00CC0320">
        <w:rPr>
          <w:rFonts w:cs="Arial"/>
          <w:bCs/>
          <w:szCs w:val="24"/>
        </w:rPr>
        <w:t>-</w:t>
      </w:r>
      <w:r w:rsidR="00F7520E" w:rsidRPr="00CC0320">
        <w:rPr>
          <w:rFonts w:cs="Arial"/>
          <w:bCs/>
          <w:szCs w:val="24"/>
        </w:rPr>
        <w:t xml:space="preserve">quality </w:t>
      </w:r>
      <w:r w:rsidR="00ED729D" w:rsidRPr="00CC0320">
        <w:rPr>
          <w:rFonts w:cs="Arial"/>
          <w:bCs/>
          <w:szCs w:val="24"/>
        </w:rPr>
        <w:t>mixed tenure development that provides a better mix of social housing to meet the needs of existing and future households as well as shared ownership and market housing for sale.</w:t>
      </w:r>
    </w:p>
    <w:p w14:paraId="14C28B33" w14:textId="2BC8EFF8" w:rsidR="0070389F" w:rsidRPr="00CC0320" w:rsidRDefault="00A859C1" w:rsidP="001472A8">
      <w:pPr>
        <w:spacing w:before="240"/>
        <w:rPr>
          <w:rFonts w:cs="Arial"/>
          <w:bCs/>
          <w:szCs w:val="24"/>
        </w:rPr>
      </w:pPr>
      <w:r w:rsidRPr="00CC0320">
        <w:rPr>
          <w:rFonts w:cs="Arial"/>
          <w:bCs/>
          <w:szCs w:val="24"/>
        </w:rPr>
        <w:t>The</w:t>
      </w:r>
      <w:r w:rsidR="0070389F" w:rsidRPr="00CC0320">
        <w:rPr>
          <w:rFonts w:cs="Arial"/>
          <w:bCs/>
          <w:szCs w:val="24"/>
        </w:rPr>
        <w:t xml:space="preserve"> Grange Farm </w:t>
      </w:r>
      <w:r w:rsidR="00767FD2" w:rsidRPr="00CC0320">
        <w:rPr>
          <w:rFonts w:cs="Arial"/>
          <w:bCs/>
          <w:szCs w:val="24"/>
        </w:rPr>
        <w:t>esta</w:t>
      </w:r>
      <w:r w:rsidR="002846E4" w:rsidRPr="00CC0320">
        <w:rPr>
          <w:rFonts w:cs="Arial"/>
          <w:bCs/>
          <w:szCs w:val="24"/>
        </w:rPr>
        <w:t>t</w:t>
      </w:r>
      <w:r w:rsidR="00767FD2" w:rsidRPr="00CC0320">
        <w:rPr>
          <w:rFonts w:cs="Arial"/>
          <w:bCs/>
          <w:szCs w:val="24"/>
        </w:rPr>
        <w:t>e covers 3.6 hectares in South Harrow within the Harrow on the Hill ward.</w:t>
      </w:r>
      <w:r w:rsidR="00104C43" w:rsidRPr="00CC0320">
        <w:rPr>
          <w:rFonts w:cs="Arial"/>
          <w:bCs/>
          <w:szCs w:val="24"/>
        </w:rPr>
        <w:t xml:space="preserve"> It received </w:t>
      </w:r>
      <w:r w:rsidR="00A65541" w:rsidRPr="00CC0320">
        <w:rPr>
          <w:rFonts w:cs="Arial"/>
          <w:bCs/>
          <w:szCs w:val="24"/>
        </w:rPr>
        <w:t xml:space="preserve">a hybrid </w:t>
      </w:r>
      <w:r w:rsidR="00104C43" w:rsidRPr="00CC0320">
        <w:rPr>
          <w:rFonts w:cs="Arial"/>
          <w:bCs/>
          <w:szCs w:val="24"/>
        </w:rPr>
        <w:t xml:space="preserve">planning consent for 574 new homes </w:t>
      </w:r>
      <w:r w:rsidR="00A65541" w:rsidRPr="00CC0320">
        <w:rPr>
          <w:rFonts w:cs="Arial"/>
          <w:bCs/>
          <w:szCs w:val="24"/>
        </w:rPr>
        <w:t>– 274 affordable and 300 private sale</w:t>
      </w:r>
      <w:r w:rsidR="00391345" w:rsidRPr="00CC0320">
        <w:rPr>
          <w:rFonts w:cs="Arial"/>
          <w:bCs/>
          <w:szCs w:val="24"/>
        </w:rPr>
        <w:t xml:space="preserve"> – to be delivered in 3 phases. The overall level of affordable housing provided i</w:t>
      </w:r>
      <w:r w:rsidR="00830057" w:rsidRPr="00CC0320">
        <w:rPr>
          <w:rFonts w:cs="Arial"/>
          <w:bCs/>
          <w:szCs w:val="24"/>
        </w:rPr>
        <w:t>n that consent i</w:t>
      </w:r>
      <w:r w:rsidR="00391345" w:rsidRPr="00CC0320">
        <w:rPr>
          <w:rFonts w:cs="Arial"/>
          <w:bCs/>
          <w:szCs w:val="24"/>
        </w:rPr>
        <w:t xml:space="preserve">s </w:t>
      </w:r>
      <w:r w:rsidR="001F53AB" w:rsidRPr="00CC0320">
        <w:rPr>
          <w:rFonts w:cs="Arial"/>
          <w:bCs/>
          <w:szCs w:val="24"/>
        </w:rPr>
        <w:t>48%.</w:t>
      </w:r>
    </w:p>
    <w:p w14:paraId="017872B7" w14:textId="7953D734" w:rsidR="003902CD" w:rsidRPr="00CC0320" w:rsidRDefault="003902CD" w:rsidP="001472A8">
      <w:pPr>
        <w:spacing w:before="240"/>
        <w:rPr>
          <w:rFonts w:cs="Arial"/>
          <w:bCs/>
          <w:szCs w:val="24"/>
        </w:rPr>
      </w:pPr>
      <w:r w:rsidRPr="00CC0320">
        <w:rPr>
          <w:rFonts w:cs="Arial"/>
          <w:bCs/>
          <w:szCs w:val="24"/>
        </w:rPr>
        <w:t>Phase 1 consisting of 89 new homes – 6</w:t>
      </w:r>
      <w:r w:rsidR="001F53AB" w:rsidRPr="00CC0320">
        <w:rPr>
          <w:rFonts w:cs="Arial"/>
          <w:bCs/>
          <w:szCs w:val="24"/>
        </w:rPr>
        <w:t>9</w:t>
      </w:r>
      <w:r w:rsidRPr="00CC0320">
        <w:rPr>
          <w:rFonts w:cs="Arial"/>
          <w:bCs/>
          <w:szCs w:val="24"/>
        </w:rPr>
        <w:t xml:space="preserve"> for rent and 2</w:t>
      </w:r>
      <w:r w:rsidR="001F53AB" w:rsidRPr="00CC0320">
        <w:rPr>
          <w:rFonts w:cs="Arial"/>
          <w:bCs/>
          <w:szCs w:val="24"/>
        </w:rPr>
        <w:t>0</w:t>
      </w:r>
      <w:r w:rsidRPr="00CC0320">
        <w:rPr>
          <w:rFonts w:cs="Arial"/>
          <w:bCs/>
          <w:szCs w:val="24"/>
        </w:rPr>
        <w:t xml:space="preserve"> for shared ownership </w:t>
      </w:r>
      <w:r w:rsidR="001F53AB" w:rsidRPr="00CC0320">
        <w:rPr>
          <w:rFonts w:cs="Arial"/>
          <w:bCs/>
          <w:szCs w:val="24"/>
        </w:rPr>
        <w:t>has been developed</w:t>
      </w:r>
      <w:r w:rsidR="007E735D" w:rsidRPr="00CC0320">
        <w:rPr>
          <w:rFonts w:cs="Arial"/>
          <w:bCs/>
          <w:szCs w:val="24"/>
        </w:rPr>
        <w:t xml:space="preserve"> by the council and </w:t>
      </w:r>
      <w:r w:rsidRPr="00CC0320">
        <w:rPr>
          <w:rFonts w:cs="Arial"/>
          <w:bCs/>
          <w:szCs w:val="24"/>
        </w:rPr>
        <w:t xml:space="preserve">is due for completion </w:t>
      </w:r>
      <w:r w:rsidR="001F53AB" w:rsidRPr="00CC0320">
        <w:rPr>
          <w:rFonts w:cs="Arial"/>
          <w:bCs/>
          <w:szCs w:val="24"/>
        </w:rPr>
        <w:t>in Spring</w:t>
      </w:r>
      <w:r w:rsidR="007E735D" w:rsidRPr="00CC0320">
        <w:rPr>
          <w:rFonts w:cs="Arial"/>
          <w:bCs/>
          <w:szCs w:val="24"/>
        </w:rPr>
        <w:t xml:space="preserve"> 2023. </w:t>
      </w:r>
      <w:r w:rsidR="008211C4" w:rsidRPr="00CC0320">
        <w:rPr>
          <w:rFonts w:cs="Arial"/>
          <w:bCs/>
          <w:szCs w:val="24"/>
        </w:rPr>
        <w:t xml:space="preserve"> In November 2021 the Council considered its options for </w:t>
      </w:r>
      <w:r w:rsidR="00F71228" w:rsidRPr="00CC0320">
        <w:rPr>
          <w:rFonts w:cs="Arial"/>
          <w:bCs/>
          <w:szCs w:val="24"/>
        </w:rPr>
        <w:t xml:space="preserve">phases 2 and 3 and approved the principle of appointing the HSDP to take </w:t>
      </w:r>
      <w:r w:rsidR="00F71228" w:rsidRPr="00CC0320">
        <w:rPr>
          <w:rFonts w:cs="Arial"/>
          <w:bCs/>
          <w:szCs w:val="24"/>
        </w:rPr>
        <w:lastRenderedPageBreak/>
        <w:t>forward the redevelopment of Phase 2 and 3 of Grange Farm</w:t>
      </w:r>
      <w:r w:rsidR="00E5269A" w:rsidRPr="00CC0320">
        <w:rPr>
          <w:rFonts w:cs="Arial"/>
          <w:bCs/>
          <w:szCs w:val="24"/>
        </w:rPr>
        <w:t xml:space="preserve"> and invited the partnership to develop a</w:t>
      </w:r>
      <w:r w:rsidR="00567A19" w:rsidRPr="00CC0320">
        <w:rPr>
          <w:rFonts w:cs="Arial"/>
          <w:bCs/>
          <w:szCs w:val="24"/>
        </w:rPr>
        <w:t>n initial</w:t>
      </w:r>
      <w:r w:rsidR="00E5269A" w:rsidRPr="00CC0320">
        <w:rPr>
          <w:rFonts w:cs="Arial"/>
          <w:bCs/>
          <w:szCs w:val="24"/>
        </w:rPr>
        <w:t xml:space="preserve"> Business Plan.</w:t>
      </w:r>
    </w:p>
    <w:p w14:paraId="236867FD" w14:textId="3C50D7CF" w:rsidR="00557F9C" w:rsidRPr="00CC0320" w:rsidRDefault="00303996" w:rsidP="001472A8">
      <w:pPr>
        <w:spacing w:before="240"/>
        <w:rPr>
          <w:rFonts w:cs="Arial"/>
          <w:bCs/>
          <w:szCs w:val="24"/>
        </w:rPr>
      </w:pPr>
      <w:r w:rsidRPr="00CC0320">
        <w:rPr>
          <w:rFonts w:cs="Arial"/>
          <w:bCs/>
          <w:szCs w:val="24"/>
        </w:rPr>
        <w:t>T</w:t>
      </w:r>
      <w:r w:rsidR="00557F9C" w:rsidRPr="00CC0320">
        <w:rPr>
          <w:rFonts w:cs="Arial"/>
          <w:bCs/>
          <w:szCs w:val="24"/>
        </w:rPr>
        <w:t>he HSDP has produced a</w:t>
      </w:r>
      <w:r w:rsidR="00567A19" w:rsidRPr="00CC0320">
        <w:rPr>
          <w:rFonts w:cs="Arial"/>
          <w:bCs/>
          <w:szCs w:val="24"/>
        </w:rPr>
        <w:t>n initial</w:t>
      </w:r>
      <w:r w:rsidR="00557F9C" w:rsidRPr="00CC0320">
        <w:rPr>
          <w:rFonts w:cs="Arial"/>
          <w:bCs/>
          <w:szCs w:val="24"/>
        </w:rPr>
        <w:t xml:space="preserve"> Business Plan</w:t>
      </w:r>
      <w:r w:rsidR="0033126F" w:rsidRPr="00CC0320">
        <w:rPr>
          <w:rFonts w:cs="Arial"/>
          <w:bCs/>
          <w:szCs w:val="24"/>
        </w:rPr>
        <w:t>,</w:t>
      </w:r>
      <w:r w:rsidR="00557F9C" w:rsidRPr="00CC0320">
        <w:rPr>
          <w:rFonts w:cs="Arial"/>
          <w:bCs/>
          <w:szCs w:val="24"/>
        </w:rPr>
        <w:t xml:space="preserve"> and this is attached as Exempt Appendix 1. A publicly available version is attached at Appendix 2</w:t>
      </w:r>
      <w:r w:rsidR="002C1F39" w:rsidRPr="00CC0320">
        <w:rPr>
          <w:rFonts w:cs="Arial"/>
          <w:bCs/>
          <w:szCs w:val="24"/>
        </w:rPr>
        <w:t>.</w:t>
      </w:r>
    </w:p>
    <w:p w14:paraId="0A96A6EE" w14:textId="57EE149F" w:rsidR="00746AE9" w:rsidRPr="00CC0320" w:rsidRDefault="00361F53" w:rsidP="001472A8">
      <w:pPr>
        <w:spacing w:before="240"/>
        <w:rPr>
          <w:rFonts w:cs="Arial"/>
          <w:bCs/>
          <w:szCs w:val="24"/>
        </w:rPr>
      </w:pPr>
      <w:r w:rsidRPr="00CC0320">
        <w:rPr>
          <w:rFonts w:cs="Arial"/>
          <w:bCs/>
          <w:szCs w:val="24"/>
        </w:rPr>
        <w:t xml:space="preserve">The HSDP </w:t>
      </w:r>
      <w:r w:rsidR="007B1B2E" w:rsidRPr="00CC0320">
        <w:rPr>
          <w:rFonts w:cs="Arial"/>
          <w:bCs/>
          <w:szCs w:val="24"/>
        </w:rPr>
        <w:t xml:space="preserve">Business Plan </w:t>
      </w:r>
      <w:r w:rsidRPr="00CC0320">
        <w:rPr>
          <w:rFonts w:cs="Arial"/>
          <w:bCs/>
          <w:szCs w:val="24"/>
        </w:rPr>
        <w:t xml:space="preserve">proposes that </w:t>
      </w:r>
      <w:r w:rsidR="00423B3B" w:rsidRPr="00CC0320">
        <w:rPr>
          <w:rFonts w:cs="Arial"/>
          <w:bCs/>
          <w:szCs w:val="24"/>
        </w:rPr>
        <w:t xml:space="preserve">the </w:t>
      </w:r>
      <w:r w:rsidR="00295A91" w:rsidRPr="00CC0320">
        <w:rPr>
          <w:rFonts w:cs="Arial"/>
          <w:bCs/>
          <w:szCs w:val="24"/>
        </w:rPr>
        <w:t xml:space="preserve">remaining </w:t>
      </w:r>
      <w:r w:rsidRPr="00CC0320">
        <w:rPr>
          <w:rFonts w:cs="Arial"/>
          <w:bCs/>
          <w:szCs w:val="24"/>
        </w:rPr>
        <w:t>phase</w:t>
      </w:r>
      <w:r w:rsidR="00295A91" w:rsidRPr="00CC0320">
        <w:rPr>
          <w:rFonts w:cs="Arial"/>
          <w:bCs/>
          <w:szCs w:val="24"/>
        </w:rPr>
        <w:t>s</w:t>
      </w:r>
      <w:r w:rsidRPr="00CC0320">
        <w:rPr>
          <w:rFonts w:cs="Arial"/>
          <w:bCs/>
          <w:szCs w:val="24"/>
        </w:rPr>
        <w:t xml:space="preserve"> deliver 532 new homes</w:t>
      </w:r>
      <w:r w:rsidR="003F3D66" w:rsidRPr="00CC0320">
        <w:rPr>
          <w:rFonts w:cs="Arial"/>
          <w:bCs/>
          <w:szCs w:val="24"/>
        </w:rPr>
        <w:t xml:space="preserve">. </w:t>
      </w:r>
      <w:r w:rsidR="00A01783" w:rsidRPr="00CC0320">
        <w:rPr>
          <w:rFonts w:cs="Arial"/>
          <w:bCs/>
          <w:szCs w:val="24"/>
        </w:rPr>
        <w:t>Phase 2 w</w:t>
      </w:r>
      <w:r w:rsidR="003F3D66" w:rsidRPr="00CC0320">
        <w:rPr>
          <w:rFonts w:cs="Arial"/>
          <w:bCs/>
          <w:szCs w:val="24"/>
        </w:rPr>
        <w:t xml:space="preserve">ill be taken forward </w:t>
      </w:r>
      <w:r w:rsidR="00A01783" w:rsidRPr="00CC0320">
        <w:rPr>
          <w:rFonts w:cs="Arial"/>
          <w:bCs/>
          <w:szCs w:val="24"/>
        </w:rPr>
        <w:t xml:space="preserve">first </w:t>
      </w:r>
      <w:r w:rsidR="00ED1D7B" w:rsidRPr="00CC0320">
        <w:rPr>
          <w:rFonts w:cs="Arial"/>
          <w:bCs/>
          <w:szCs w:val="24"/>
        </w:rPr>
        <w:t xml:space="preserve">and would </w:t>
      </w:r>
      <w:r w:rsidR="007A6783" w:rsidRPr="00CC0320">
        <w:rPr>
          <w:rFonts w:cs="Arial"/>
          <w:bCs/>
          <w:szCs w:val="24"/>
        </w:rPr>
        <w:t>include 256 homes</w:t>
      </w:r>
      <w:r w:rsidR="00435BBA" w:rsidRPr="00CC0320">
        <w:rPr>
          <w:rFonts w:cs="Arial"/>
          <w:bCs/>
          <w:szCs w:val="24"/>
        </w:rPr>
        <w:t>,</w:t>
      </w:r>
      <w:r w:rsidR="007A6783" w:rsidRPr="00CC0320">
        <w:rPr>
          <w:rFonts w:cs="Arial"/>
          <w:bCs/>
          <w:szCs w:val="24"/>
        </w:rPr>
        <w:t xml:space="preserve"> 83 of which will be affordable</w:t>
      </w:r>
      <w:r w:rsidR="0070389F" w:rsidRPr="00CC0320">
        <w:rPr>
          <w:rFonts w:cs="Arial"/>
          <w:bCs/>
          <w:szCs w:val="24"/>
        </w:rPr>
        <w:t>, constituting 39% by habitable room.</w:t>
      </w:r>
      <w:r w:rsidR="00ED03AB" w:rsidRPr="00CC0320">
        <w:rPr>
          <w:rFonts w:cs="Arial"/>
          <w:bCs/>
          <w:szCs w:val="24"/>
        </w:rPr>
        <w:t xml:space="preserve"> </w:t>
      </w:r>
      <w:r w:rsidR="008D40F9" w:rsidRPr="00CC0320">
        <w:rPr>
          <w:rFonts w:cs="Arial"/>
          <w:bCs/>
          <w:szCs w:val="24"/>
        </w:rPr>
        <w:t>The 83 affordable homes will enable the remaining existing secure tenants on the estate to be rehoused in new homes</w:t>
      </w:r>
      <w:r w:rsidR="0087684B" w:rsidRPr="00CC0320">
        <w:rPr>
          <w:rFonts w:cs="Arial"/>
          <w:bCs/>
          <w:szCs w:val="24"/>
        </w:rPr>
        <w:t>.</w:t>
      </w:r>
      <w:r w:rsidR="007723CE" w:rsidRPr="00CC0320">
        <w:rPr>
          <w:rFonts w:cs="Arial"/>
          <w:bCs/>
          <w:szCs w:val="24"/>
        </w:rPr>
        <w:t xml:space="preserve"> There will be a greater proportion of</w:t>
      </w:r>
      <w:r w:rsidR="00567A19" w:rsidRPr="00CC0320">
        <w:rPr>
          <w:rFonts w:cs="Arial"/>
          <w:bCs/>
          <w:szCs w:val="24"/>
        </w:rPr>
        <w:t xml:space="preserve"> family sized homes than the extant outline consent.</w:t>
      </w:r>
    </w:p>
    <w:p w14:paraId="0FF4EB95" w14:textId="61585874" w:rsidR="008A2636" w:rsidRPr="00CC0320" w:rsidRDefault="00746AE9" w:rsidP="001472A8">
      <w:pPr>
        <w:spacing w:before="240"/>
        <w:rPr>
          <w:rFonts w:cs="Arial"/>
          <w:bCs/>
          <w:szCs w:val="24"/>
        </w:rPr>
      </w:pPr>
      <w:r w:rsidRPr="00CC0320">
        <w:rPr>
          <w:rFonts w:cs="Arial"/>
          <w:bCs/>
          <w:szCs w:val="24"/>
        </w:rPr>
        <w:t xml:space="preserve">Phase 3 will deliver </w:t>
      </w:r>
      <w:r w:rsidR="00905827" w:rsidRPr="00CC0320">
        <w:rPr>
          <w:rFonts w:cs="Arial"/>
          <w:bCs/>
          <w:szCs w:val="24"/>
        </w:rPr>
        <w:t>the remaining 276 new homes</w:t>
      </w:r>
      <w:r w:rsidR="00094B3F" w:rsidRPr="00CC0320">
        <w:rPr>
          <w:rFonts w:cs="Arial"/>
          <w:bCs/>
          <w:szCs w:val="24"/>
        </w:rPr>
        <w:t xml:space="preserve">, of which </w:t>
      </w:r>
      <w:r w:rsidR="00711232" w:rsidRPr="00CC0320">
        <w:rPr>
          <w:rFonts w:cs="Arial"/>
          <w:bCs/>
          <w:szCs w:val="24"/>
        </w:rPr>
        <w:t>93</w:t>
      </w:r>
      <w:r w:rsidR="00094B3F" w:rsidRPr="00CC0320">
        <w:rPr>
          <w:rFonts w:cs="Arial"/>
          <w:bCs/>
          <w:szCs w:val="24"/>
        </w:rPr>
        <w:t xml:space="preserve"> would be affordable</w:t>
      </w:r>
      <w:r w:rsidR="001A7F8C" w:rsidRPr="00CC0320">
        <w:rPr>
          <w:rFonts w:cs="Arial"/>
          <w:bCs/>
          <w:szCs w:val="24"/>
        </w:rPr>
        <w:t>,</w:t>
      </w:r>
      <w:r w:rsidR="00094B3F" w:rsidRPr="00CC0320">
        <w:rPr>
          <w:rFonts w:cs="Arial"/>
          <w:bCs/>
          <w:szCs w:val="24"/>
        </w:rPr>
        <w:t xml:space="preserve"> as well as a new </w:t>
      </w:r>
      <w:r w:rsidR="00ED03AB" w:rsidRPr="00CC0320">
        <w:rPr>
          <w:rFonts w:cs="Arial"/>
          <w:bCs/>
          <w:szCs w:val="24"/>
        </w:rPr>
        <w:t>Community Centre</w:t>
      </w:r>
      <w:r w:rsidR="00BD13F8" w:rsidRPr="00CC0320">
        <w:rPr>
          <w:rFonts w:cs="Arial"/>
          <w:bCs/>
          <w:szCs w:val="24"/>
        </w:rPr>
        <w:t xml:space="preserve"> which will be larger and offer better facilities than the cur</w:t>
      </w:r>
      <w:r w:rsidR="00DC2280" w:rsidRPr="00CC0320">
        <w:rPr>
          <w:rFonts w:cs="Arial"/>
          <w:bCs/>
          <w:szCs w:val="24"/>
        </w:rPr>
        <w:t>rent one.</w:t>
      </w:r>
    </w:p>
    <w:p w14:paraId="4B0EEB72" w14:textId="6399F8B8" w:rsidR="00D21A6E" w:rsidRPr="00CC0320" w:rsidRDefault="00D21A6E" w:rsidP="001472A8">
      <w:pPr>
        <w:spacing w:before="240"/>
        <w:rPr>
          <w:rFonts w:cs="Arial"/>
          <w:bCs/>
          <w:szCs w:val="24"/>
        </w:rPr>
      </w:pPr>
      <w:r w:rsidRPr="00CC0320">
        <w:rPr>
          <w:rFonts w:cs="Arial"/>
          <w:bCs/>
          <w:szCs w:val="24"/>
        </w:rPr>
        <w:t xml:space="preserve">Although there is an existing </w:t>
      </w:r>
      <w:r w:rsidR="00DC2280" w:rsidRPr="00CC0320">
        <w:rPr>
          <w:rFonts w:cs="Arial"/>
          <w:bCs/>
          <w:szCs w:val="24"/>
        </w:rPr>
        <w:t xml:space="preserve">outline </w:t>
      </w:r>
      <w:r w:rsidRPr="00CC0320">
        <w:rPr>
          <w:rFonts w:cs="Arial"/>
          <w:bCs/>
          <w:szCs w:val="24"/>
        </w:rPr>
        <w:t>planning permission for phase 2 and 3, the HSDP recommends</w:t>
      </w:r>
      <w:r w:rsidR="0082569A" w:rsidRPr="00CC0320">
        <w:rPr>
          <w:rFonts w:cs="Arial"/>
          <w:bCs/>
          <w:szCs w:val="24"/>
        </w:rPr>
        <w:t xml:space="preserve"> a new planning application </w:t>
      </w:r>
      <w:r w:rsidR="00DC2280" w:rsidRPr="00CC0320">
        <w:rPr>
          <w:rFonts w:cs="Arial"/>
          <w:bCs/>
          <w:szCs w:val="24"/>
        </w:rPr>
        <w:t>is</w:t>
      </w:r>
      <w:r w:rsidR="00B718A3" w:rsidRPr="00CC0320">
        <w:rPr>
          <w:rFonts w:cs="Arial"/>
          <w:bCs/>
          <w:szCs w:val="24"/>
        </w:rPr>
        <w:t xml:space="preserve"> taken forward for </w:t>
      </w:r>
      <w:r w:rsidR="0082569A" w:rsidRPr="00CC0320">
        <w:rPr>
          <w:rFonts w:cs="Arial"/>
          <w:bCs/>
          <w:szCs w:val="24"/>
        </w:rPr>
        <w:t>Phases 2 and 3</w:t>
      </w:r>
      <w:r w:rsidR="00095A3D" w:rsidRPr="00CC0320">
        <w:rPr>
          <w:rFonts w:cs="Arial"/>
          <w:bCs/>
          <w:szCs w:val="24"/>
        </w:rPr>
        <w:t xml:space="preserve"> </w:t>
      </w:r>
      <w:r w:rsidR="006775D9" w:rsidRPr="00CC0320">
        <w:rPr>
          <w:rFonts w:cs="Arial"/>
          <w:bCs/>
          <w:szCs w:val="24"/>
        </w:rPr>
        <w:t xml:space="preserve">as there has been significant change since 2019 with regard to </w:t>
      </w:r>
      <w:r w:rsidR="006C19D0" w:rsidRPr="00CC0320">
        <w:rPr>
          <w:rFonts w:cs="Arial"/>
          <w:bCs/>
          <w:szCs w:val="24"/>
        </w:rPr>
        <w:t xml:space="preserve">carbon reduction requirements and </w:t>
      </w:r>
      <w:r w:rsidR="00095A3D" w:rsidRPr="00CC0320">
        <w:rPr>
          <w:rFonts w:cs="Arial"/>
          <w:bCs/>
          <w:szCs w:val="24"/>
        </w:rPr>
        <w:t xml:space="preserve">to capture the improvements and optimisation identified during the </w:t>
      </w:r>
      <w:r w:rsidR="00E201DB" w:rsidRPr="00CC0320">
        <w:rPr>
          <w:rFonts w:cs="Arial"/>
          <w:bCs/>
          <w:szCs w:val="24"/>
        </w:rPr>
        <w:t>review and business plan process.</w:t>
      </w:r>
      <w:r w:rsidR="003D6316" w:rsidRPr="00CC0320">
        <w:rPr>
          <w:rFonts w:cs="Arial"/>
          <w:bCs/>
          <w:szCs w:val="24"/>
        </w:rPr>
        <w:t xml:space="preserve"> </w:t>
      </w:r>
    </w:p>
    <w:p w14:paraId="286983DE" w14:textId="06C952AB" w:rsidR="00E201DB" w:rsidRPr="00CC0320" w:rsidRDefault="00EC308C" w:rsidP="001472A8">
      <w:pPr>
        <w:spacing w:before="240"/>
        <w:rPr>
          <w:rFonts w:cs="Arial"/>
          <w:bCs/>
          <w:szCs w:val="24"/>
        </w:rPr>
      </w:pPr>
      <w:r w:rsidRPr="00CC0320">
        <w:rPr>
          <w:rFonts w:cs="Arial"/>
          <w:bCs/>
          <w:szCs w:val="24"/>
        </w:rPr>
        <w:t>These include the provision of additional housing,</w:t>
      </w:r>
      <w:r w:rsidR="004436B4" w:rsidRPr="00CC0320">
        <w:rPr>
          <w:rFonts w:cs="Arial"/>
          <w:bCs/>
          <w:szCs w:val="24"/>
        </w:rPr>
        <w:t xml:space="preserve"> a greater proportion of family sized homes,</w:t>
      </w:r>
      <w:r w:rsidRPr="00CC0320">
        <w:rPr>
          <w:rFonts w:cs="Arial"/>
          <w:bCs/>
          <w:szCs w:val="24"/>
        </w:rPr>
        <w:t xml:space="preserve"> improved layout with more efficient design, energy performance </w:t>
      </w:r>
      <w:r w:rsidR="00D10680" w:rsidRPr="00CC0320">
        <w:rPr>
          <w:rFonts w:cs="Arial"/>
          <w:bCs/>
          <w:szCs w:val="24"/>
        </w:rPr>
        <w:t>and place making. In the latter case</w:t>
      </w:r>
      <w:r w:rsidR="00434839" w:rsidRPr="00CC0320">
        <w:rPr>
          <w:rFonts w:cs="Arial"/>
          <w:bCs/>
          <w:szCs w:val="24"/>
        </w:rPr>
        <w:t>,</w:t>
      </w:r>
      <w:r w:rsidR="00D10680" w:rsidRPr="00CC0320">
        <w:rPr>
          <w:rFonts w:cs="Arial"/>
          <w:bCs/>
          <w:szCs w:val="24"/>
        </w:rPr>
        <w:t xml:space="preserve"> this particularly includes</w:t>
      </w:r>
      <w:r w:rsidR="00B224E8" w:rsidRPr="00CC0320">
        <w:rPr>
          <w:rFonts w:cs="Arial"/>
          <w:bCs/>
          <w:szCs w:val="24"/>
        </w:rPr>
        <w:t xml:space="preserve"> the green space and streetscape.</w:t>
      </w:r>
      <w:r w:rsidR="00FC11B4" w:rsidRPr="00CC0320">
        <w:rPr>
          <w:rFonts w:cs="Arial"/>
          <w:bCs/>
          <w:szCs w:val="24"/>
        </w:rPr>
        <w:t xml:space="preserve"> The Grange Farm Steering group, estate residents and the wider community will be involved in developing revised plans, taking into account their vision already incorporated in Phase 1</w:t>
      </w:r>
      <w:r w:rsidR="00BF2C8B" w:rsidRPr="00CC0320">
        <w:rPr>
          <w:rFonts w:cs="Arial"/>
          <w:bCs/>
          <w:szCs w:val="24"/>
        </w:rPr>
        <w:t>.</w:t>
      </w:r>
    </w:p>
    <w:p w14:paraId="2DA5C889" w14:textId="64FFE404" w:rsidR="00B224E8" w:rsidRPr="00CC0320" w:rsidRDefault="00B224E8" w:rsidP="001472A8">
      <w:pPr>
        <w:spacing w:before="240"/>
        <w:rPr>
          <w:rFonts w:cs="Arial"/>
          <w:bCs/>
          <w:szCs w:val="24"/>
        </w:rPr>
      </w:pPr>
      <w:r w:rsidRPr="00CC0320">
        <w:rPr>
          <w:rFonts w:cs="Arial"/>
          <w:bCs/>
          <w:szCs w:val="24"/>
        </w:rPr>
        <w:t xml:space="preserve">Currently </w:t>
      </w:r>
      <w:r w:rsidR="0069345C" w:rsidRPr="00CC0320">
        <w:rPr>
          <w:rFonts w:cs="Arial"/>
          <w:bCs/>
          <w:szCs w:val="24"/>
        </w:rPr>
        <w:t>the heights of the buildings remain as per the existing planning permission at a maximum of seven storeys.</w:t>
      </w:r>
    </w:p>
    <w:p w14:paraId="47DB565A" w14:textId="177743D1" w:rsidR="00E932B7" w:rsidRPr="00CC0320" w:rsidRDefault="00723703" w:rsidP="001472A8">
      <w:pPr>
        <w:spacing w:before="240"/>
        <w:rPr>
          <w:rFonts w:cs="Arial"/>
          <w:bCs/>
          <w:szCs w:val="24"/>
        </w:rPr>
      </w:pPr>
      <w:r w:rsidRPr="00CC0320">
        <w:rPr>
          <w:rFonts w:cs="Arial"/>
          <w:bCs/>
          <w:szCs w:val="24"/>
        </w:rPr>
        <w:t>Within the Business Plan there is a draft social value plan, but it is important that the detail of this is worked up in partnership with local residents</w:t>
      </w:r>
      <w:r w:rsidR="00BF2C8B" w:rsidRPr="00CC0320">
        <w:rPr>
          <w:rFonts w:cs="Arial"/>
          <w:bCs/>
          <w:szCs w:val="24"/>
        </w:rPr>
        <w:t xml:space="preserve"> and the voluntary sector part</w:t>
      </w:r>
      <w:r w:rsidR="00F33DA2" w:rsidRPr="00CC0320">
        <w:rPr>
          <w:rFonts w:cs="Arial"/>
          <w:bCs/>
          <w:szCs w:val="24"/>
        </w:rPr>
        <w:t>ners that provide support and services to residents</w:t>
      </w:r>
      <w:r w:rsidR="0088303F" w:rsidRPr="00CC0320">
        <w:rPr>
          <w:rFonts w:cs="Arial"/>
          <w:bCs/>
          <w:szCs w:val="24"/>
        </w:rPr>
        <w:t>,</w:t>
      </w:r>
      <w:r w:rsidRPr="00CC0320">
        <w:rPr>
          <w:rFonts w:cs="Arial"/>
          <w:bCs/>
          <w:szCs w:val="24"/>
        </w:rPr>
        <w:t xml:space="preserve"> and this will </w:t>
      </w:r>
      <w:r w:rsidR="00B2640E" w:rsidRPr="00CC0320">
        <w:rPr>
          <w:rFonts w:cs="Arial"/>
          <w:bCs/>
          <w:szCs w:val="24"/>
        </w:rPr>
        <w:t>develop over time.</w:t>
      </w:r>
    </w:p>
    <w:p w14:paraId="6EDBE4CC" w14:textId="1E9AF6DE" w:rsidR="00291F43" w:rsidRPr="00CC0320" w:rsidRDefault="00750EF6" w:rsidP="001472A8">
      <w:pPr>
        <w:spacing w:before="240"/>
        <w:rPr>
          <w:rFonts w:cs="Arial"/>
          <w:bCs/>
          <w:szCs w:val="24"/>
        </w:rPr>
      </w:pPr>
      <w:r w:rsidRPr="00CC0320">
        <w:rPr>
          <w:rFonts w:cs="Arial"/>
          <w:bCs/>
          <w:szCs w:val="24"/>
        </w:rPr>
        <w:t>At present phase 2 of the scheme has a positive land value</w:t>
      </w:r>
      <w:r w:rsidR="002B2F74" w:rsidRPr="00CC0320">
        <w:rPr>
          <w:rFonts w:cs="Arial"/>
          <w:bCs/>
          <w:szCs w:val="24"/>
        </w:rPr>
        <w:t>, meaning that the scheme is viable and that for the Council’s land</w:t>
      </w:r>
      <w:r w:rsidR="00D4048A" w:rsidRPr="00CC0320">
        <w:rPr>
          <w:rFonts w:cs="Arial"/>
          <w:bCs/>
          <w:szCs w:val="24"/>
        </w:rPr>
        <w:t>,</w:t>
      </w:r>
      <w:r w:rsidR="002B2F74" w:rsidRPr="00CC0320">
        <w:rPr>
          <w:rFonts w:cs="Arial"/>
          <w:bCs/>
          <w:szCs w:val="24"/>
        </w:rPr>
        <w:t xml:space="preserve"> a sum of £1.0</w:t>
      </w:r>
      <w:r w:rsidR="00A94B01" w:rsidRPr="00CC0320">
        <w:rPr>
          <w:rFonts w:cs="Arial"/>
          <w:bCs/>
          <w:szCs w:val="24"/>
        </w:rPr>
        <w:t>3</w:t>
      </w:r>
      <w:r w:rsidR="002B2F74" w:rsidRPr="00CC0320">
        <w:rPr>
          <w:rFonts w:cs="Arial"/>
          <w:bCs/>
          <w:szCs w:val="24"/>
        </w:rPr>
        <w:t>m would be received.</w:t>
      </w:r>
      <w:r w:rsidR="0085334F" w:rsidRPr="00CC0320">
        <w:rPr>
          <w:rFonts w:cs="Arial"/>
          <w:bCs/>
          <w:szCs w:val="24"/>
        </w:rPr>
        <w:t xml:space="preserve"> </w:t>
      </w:r>
      <w:r w:rsidR="00452044" w:rsidRPr="00CC0320">
        <w:rPr>
          <w:rFonts w:cs="Arial"/>
          <w:bCs/>
          <w:szCs w:val="24"/>
        </w:rPr>
        <w:t>This will potentially improve when the funding sources are confirmed</w:t>
      </w:r>
      <w:r w:rsidR="005B19F2" w:rsidRPr="00CC0320">
        <w:rPr>
          <w:rFonts w:cs="Arial"/>
          <w:bCs/>
          <w:szCs w:val="24"/>
        </w:rPr>
        <w:t xml:space="preserve"> and result in a higher land value when this is crystallised at land draw down</w:t>
      </w:r>
      <w:r w:rsidR="00452044" w:rsidRPr="00CC0320">
        <w:rPr>
          <w:rFonts w:cs="Arial"/>
          <w:bCs/>
          <w:szCs w:val="24"/>
        </w:rPr>
        <w:t>.</w:t>
      </w:r>
      <w:r w:rsidR="003970DD" w:rsidRPr="00CC0320">
        <w:rPr>
          <w:rFonts w:cs="Arial"/>
          <w:bCs/>
          <w:szCs w:val="24"/>
        </w:rPr>
        <w:t xml:space="preserve"> </w:t>
      </w:r>
      <w:r w:rsidR="0085334F" w:rsidRPr="00CC0320">
        <w:rPr>
          <w:rFonts w:cs="Arial"/>
          <w:bCs/>
          <w:szCs w:val="24"/>
        </w:rPr>
        <w:t xml:space="preserve">Following development each partner receives a projected </w:t>
      </w:r>
      <w:r w:rsidR="00DD726B" w:rsidRPr="00CC0320">
        <w:rPr>
          <w:rFonts w:cs="Arial"/>
          <w:bCs/>
          <w:szCs w:val="24"/>
        </w:rPr>
        <w:t>profit</w:t>
      </w:r>
      <w:r w:rsidR="0085334F" w:rsidRPr="00CC0320">
        <w:rPr>
          <w:rFonts w:cs="Arial"/>
          <w:bCs/>
          <w:szCs w:val="24"/>
        </w:rPr>
        <w:t xml:space="preserve"> of £6.23m</w:t>
      </w:r>
      <w:r w:rsidR="005436C6" w:rsidRPr="00CC0320">
        <w:rPr>
          <w:rFonts w:cs="Arial"/>
          <w:bCs/>
          <w:szCs w:val="24"/>
        </w:rPr>
        <w:t>.</w:t>
      </w:r>
    </w:p>
    <w:p w14:paraId="2EC4AF9C" w14:textId="51277D1D" w:rsidR="005436C6" w:rsidRPr="00CC0320" w:rsidRDefault="005436C6" w:rsidP="001472A8">
      <w:pPr>
        <w:spacing w:before="240"/>
        <w:rPr>
          <w:rFonts w:cs="Arial"/>
          <w:bCs/>
          <w:szCs w:val="24"/>
        </w:rPr>
      </w:pPr>
      <w:r w:rsidRPr="00CC0320">
        <w:rPr>
          <w:rFonts w:cs="Arial"/>
          <w:bCs/>
          <w:szCs w:val="24"/>
        </w:rPr>
        <w:t xml:space="preserve">The scheme </w:t>
      </w:r>
      <w:r w:rsidR="00D4048A" w:rsidRPr="00CC0320">
        <w:rPr>
          <w:rFonts w:cs="Arial"/>
          <w:bCs/>
          <w:szCs w:val="24"/>
        </w:rPr>
        <w:t xml:space="preserve">is estimated to </w:t>
      </w:r>
      <w:r w:rsidRPr="00CC0320">
        <w:rPr>
          <w:rFonts w:cs="Arial"/>
          <w:bCs/>
          <w:szCs w:val="24"/>
        </w:rPr>
        <w:t>cost £85.55m to build</w:t>
      </w:r>
      <w:r w:rsidR="00E44828" w:rsidRPr="00CC0320">
        <w:rPr>
          <w:rFonts w:cs="Arial"/>
          <w:bCs/>
          <w:szCs w:val="24"/>
        </w:rPr>
        <w:t xml:space="preserve">, receiving </w:t>
      </w:r>
      <w:r w:rsidR="007554EB" w:rsidRPr="00CC0320">
        <w:rPr>
          <w:rFonts w:cs="Arial"/>
          <w:bCs/>
          <w:szCs w:val="24"/>
        </w:rPr>
        <w:t xml:space="preserve">an estimated </w:t>
      </w:r>
      <w:r w:rsidR="00E44828" w:rsidRPr="00CC0320">
        <w:rPr>
          <w:rFonts w:cs="Arial"/>
          <w:bCs/>
          <w:szCs w:val="24"/>
        </w:rPr>
        <w:t>£83.12m in revenue from private sale and the Council housing costs</w:t>
      </w:r>
      <w:r w:rsidR="00861543" w:rsidRPr="00CC0320">
        <w:rPr>
          <w:rFonts w:cs="Arial"/>
          <w:bCs/>
          <w:szCs w:val="24"/>
        </w:rPr>
        <w:t xml:space="preserve"> </w:t>
      </w:r>
      <w:r w:rsidR="00E44828" w:rsidRPr="00CC0320">
        <w:rPr>
          <w:rFonts w:cs="Arial"/>
          <w:bCs/>
          <w:szCs w:val="24"/>
        </w:rPr>
        <w:t>£37.23m</w:t>
      </w:r>
      <w:r w:rsidR="004B5DE3" w:rsidRPr="00CC0320">
        <w:rPr>
          <w:rFonts w:cs="Arial"/>
          <w:bCs/>
          <w:szCs w:val="24"/>
        </w:rPr>
        <w:t>. The partnership has modelled a number</w:t>
      </w:r>
      <w:r w:rsidR="00677AEE" w:rsidRPr="00CC0320">
        <w:rPr>
          <w:rFonts w:cs="Arial"/>
          <w:bCs/>
          <w:szCs w:val="24"/>
        </w:rPr>
        <w:t xml:space="preserve"> </w:t>
      </w:r>
      <w:r w:rsidR="004B5DE3" w:rsidRPr="00CC0320">
        <w:rPr>
          <w:rFonts w:cs="Arial"/>
          <w:bCs/>
          <w:szCs w:val="24"/>
        </w:rPr>
        <w:t>of inflation scenarios</w:t>
      </w:r>
      <w:r w:rsidR="00677AEE" w:rsidRPr="00CC0320">
        <w:rPr>
          <w:rFonts w:cs="Arial"/>
          <w:bCs/>
          <w:szCs w:val="24"/>
        </w:rPr>
        <w:t xml:space="preserve"> and the Business plan adopts that which both the partnership and </w:t>
      </w:r>
      <w:r w:rsidR="00EC6090" w:rsidRPr="00CC0320">
        <w:rPr>
          <w:rFonts w:cs="Arial"/>
          <w:bCs/>
          <w:szCs w:val="24"/>
        </w:rPr>
        <w:t>the Council’s</w:t>
      </w:r>
      <w:r w:rsidR="00677AEE" w:rsidRPr="00CC0320">
        <w:rPr>
          <w:rFonts w:cs="Arial"/>
          <w:bCs/>
          <w:szCs w:val="24"/>
        </w:rPr>
        <w:t xml:space="preserve"> commercial advisers deem the most likely</w:t>
      </w:r>
      <w:r w:rsidR="00A47F06" w:rsidRPr="00CC0320">
        <w:rPr>
          <w:rFonts w:cs="Arial"/>
          <w:bCs/>
          <w:szCs w:val="24"/>
        </w:rPr>
        <w:t>.</w:t>
      </w:r>
      <w:r w:rsidR="00317764" w:rsidRPr="00CC0320">
        <w:rPr>
          <w:rFonts w:cs="Arial"/>
          <w:bCs/>
          <w:szCs w:val="24"/>
        </w:rPr>
        <w:t xml:space="preserve"> </w:t>
      </w:r>
      <w:r w:rsidR="004A5088" w:rsidRPr="00CC0320">
        <w:rPr>
          <w:rFonts w:cs="Arial"/>
          <w:bCs/>
          <w:szCs w:val="24"/>
        </w:rPr>
        <w:t>The Council’s</w:t>
      </w:r>
      <w:r w:rsidR="00DC78A1" w:rsidRPr="00CC0320">
        <w:rPr>
          <w:rFonts w:cs="Arial"/>
          <w:bCs/>
          <w:szCs w:val="24"/>
        </w:rPr>
        <w:t xml:space="preserve"> commercial advisers Avison Young advise that </w:t>
      </w:r>
      <w:r w:rsidR="0029421B" w:rsidRPr="00CC0320">
        <w:rPr>
          <w:rFonts w:cs="Arial"/>
          <w:bCs/>
          <w:szCs w:val="24"/>
        </w:rPr>
        <w:t>the Business Plan is based on acceptable commercial and market parameters, and build costs are comparable with assessments already provided by Arcadis</w:t>
      </w:r>
      <w:r w:rsidR="009D798A" w:rsidRPr="00CC0320">
        <w:rPr>
          <w:rFonts w:cs="Arial"/>
          <w:bCs/>
          <w:szCs w:val="24"/>
        </w:rPr>
        <w:t>,</w:t>
      </w:r>
      <w:r w:rsidR="0029421B" w:rsidRPr="00CC0320">
        <w:rPr>
          <w:rFonts w:cs="Arial"/>
          <w:bCs/>
          <w:szCs w:val="24"/>
        </w:rPr>
        <w:t xml:space="preserve"> the joint venture supervisor. </w:t>
      </w:r>
      <w:r w:rsidR="00317764" w:rsidRPr="00CC0320">
        <w:rPr>
          <w:rFonts w:cs="Arial"/>
          <w:bCs/>
          <w:szCs w:val="24"/>
        </w:rPr>
        <w:t>This is covered in more detail in the financial implications.</w:t>
      </w:r>
    </w:p>
    <w:p w14:paraId="42C083BA" w14:textId="24E78655" w:rsidR="00065019" w:rsidRPr="00CC0320" w:rsidRDefault="004314A4" w:rsidP="001472A8">
      <w:pPr>
        <w:spacing w:before="240"/>
        <w:rPr>
          <w:rFonts w:cs="Arial"/>
          <w:bCs/>
          <w:szCs w:val="24"/>
        </w:rPr>
      </w:pPr>
      <w:r w:rsidRPr="00CC0320">
        <w:rPr>
          <w:rFonts w:cs="Arial"/>
          <w:bCs/>
          <w:szCs w:val="24"/>
        </w:rPr>
        <w:lastRenderedPageBreak/>
        <w:t xml:space="preserve">Phase 3 at the moment is not viable currently </w:t>
      </w:r>
      <w:r w:rsidR="00317764" w:rsidRPr="00CC0320">
        <w:rPr>
          <w:rFonts w:cs="Arial"/>
          <w:bCs/>
          <w:szCs w:val="24"/>
        </w:rPr>
        <w:t xml:space="preserve">having </w:t>
      </w:r>
      <w:r w:rsidRPr="00CC0320">
        <w:rPr>
          <w:rFonts w:cs="Arial"/>
          <w:bCs/>
          <w:szCs w:val="24"/>
        </w:rPr>
        <w:t>a negative land val</w:t>
      </w:r>
      <w:r w:rsidR="0011393F" w:rsidRPr="00CC0320">
        <w:rPr>
          <w:rFonts w:cs="Arial"/>
          <w:bCs/>
          <w:szCs w:val="24"/>
        </w:rPr>
        <w:t xml:space="preserve">ue. However, work on </w:t>
      </w:r>
      <w:r w:rsidR="00C01071" w:rsidRPr="00CC0320">
        <w:rPr>
          <w:rFonts w:cs="Arial"/>
          <w:bCs/>
          <w:szCs w:val="24"/>
        </w:rPr>
        <w:t xml:space="preserve">development of </w:t>
      </w:r>
      <w:r w:rsidR="0011393F" w:rsidRPr="00CC0320">
        <w:rPr>
          <w:rFonts w:cs="Arial"/>
          <w:bCs/>
          <w:szCs w:val="24"/>
        </w:rPr>
        <w:t>phase 3 would not be scheduled to start until November 2026</w:t>
      </w:r>
      <w:r w:rsidR="00791269" w:rsidRPr="00CC0320">
        <w:rPr>
          <w:rFonts w:cs="Arial"/>
          <w:bCs/>
          <w:szCs w:val="24"/>
        </w:rPr>
        <w:t>, and this means that the figures as currently assumed are subject to considerable change</w:t>
      </w:r>
      <w:r w:rsidR="00622D1C" w:rsidRPr="00CC0320">
        <w:rPr>
          <w:rFonts w:cs="Arial"/>
          <w:bCs/>
          <w:szCs w:val="24"/>
        </w:rPr>
        <w:t>, particularly in terms of sales values and build cost inflation</w:t>
      </w:r>
      <w:r w:rsidR="00DE1F97" w:rsidRPr="00CC0320">
        <w:rPr>
          <w:rFonts w:cs="Arial"/>
          <w:bCs/>
          <w:szCs w:val="24"/>
        </w:rPr>
        <w:t xml:space="preserve"> both of which remain uncertain over the time period</w:t>
      </w:r>
      <w:r w:rsidR="009C4301" w:rsidRPr="00CC0320">
        <w:rPr>
          <w:rFonts w:cs="Arial"/>
          <w:bCs/>
          <w:szCs w:val="24"/>
        </w:rPr>
        <w:t xml:space="preserve">. </w:t>
      </w:r>
      <w:r w:rsidR="004F7FD6" w:rsidRPr="00CC0320">
        <w:rPr>
          <w:rFonts w:cs="Arial"/>
          <w:bCs/>
          <w:szCs w:val="24"/>
        </w:rPr>
        <w:t xml:space="preserve">Viability by the time of </w:t>
      </w:r>
      <w:r w:rsidR="00EC5810" w:rsidRPr="00CC0320">
        <w:rPr>
          <w:rFonts w:cs="Arial"/>
          <w:bCs/>
          <w:szCs w:val="24"/>
        </w:rPr>
        <w:t xml:space="preserve">funding commitment is therefore </w:t>
      </w:r>
      <w:r w:rsidR="00260B0A" w:rsidRPr="00CC0320">
        <w:rPr>
          <w:rFonts w:cs="Arial"/>
          <w:bCs/>
          <w:szCs w:val="24"/>
        </w:rPr>
        <w:t>anticipated.</w:t>
      </w:r>
      <w:r w:rsidR="00EC5810" w:rsidRPr="00CC0320">
        <w:rPr>
          <w:rFonts w:cs="Arial"/>
          <w:bCs/>
          <w:szCs w:val="24"/>
        </w:rPr>
        <w:t xml:space="preserve"> </w:t>
      </w:r>
      <w:r w:rsidR="00AC2B0E" w:rsidRPr="00CC0320">
        <w:rPr>
          <w:rFonts w:cs="Arial"/>
          <w:bCs/>
          <w:szCs w:val="24"/>
        </w:rPr>
        <w:t>Existing residents will be rehoused in the new Phase 2</w:t>
      </w:r>
      <w:r w:rsidR="00A531D3" w:rsidRPr="00CC0320">
        <w:rPr>
          <w:rFonts w:cs="Arial"/>
          <w:bCs/>
          <w:szCs w:val="24"/>
        </w:rPr>
        <w:t>,</w:t>
      </w:r>
      <w:r w:rsidR="00AC2B0E" w:rsidRPr="00CC0320">
        <w:rPr>
          <w:rFonts w:cs="Arial"/>
          <w:bCs/>
          <w:szCs w:val="24"/>
        </w:rPr>
        <w:t xml:space="preserve"> therefore</w:t>
      </w:r>
      <w:r w:rsidR="0080616D" w:rsidRPr="00CC0320">
        <w:rPr>
          <w:rFonts w:cs="Arial"/>
          <w:bCs/>
          <w:szCs w:val="24"/>
        </w:rPr>
        <w:t xml:space="preserve"> no permanent residents living on the estate would </w:t>
      </w:r>
      <w:r w:rsidR="00545842" w:rsidRPr="00CC0320">
        <w:rPr>
          <w:rFonts w:cs="Arial"/>
          <w:bCs/>
          <w:szCs w:val="24"/>
        </w:rPr>
        <w:t>be left waiting for a new home if Phase 3 was delayed</w:t>
      </w:r>
      <w:r w:rsidR="00BD3E1E" w:rsidRPr="00CC0320">
        <w:rPr>
          <w:rFonts w:cs="Arial"/>
          <w:bCs/>
          <w:szCs w:val="24"/>
        </w:rPr>
        <w:t xml:space="preserve">. </w:t>
      </w:r>
      <w:r w:rsidR="009C4301" w:rsidRPr="00CC0320">
        <w:rPr>
          <w:rFonts w:cs="Arial"/>
          <w:bCs/>
          <w:szCs w:val="24"/>
        </w:rPr>
        <w:t xml:space="preserve">Ongoing review of the phase viability will take place and no commitment is required </w:t>
      </w:r>
      <w:r w:rsidR="006A4948" w:rsidRPr="00CC0320">
        <w:rPr>
          <w:rFonts w:cs="Arial"/>
          <w:bCs/>
          <w:szCs w:val="24"/>
        </w:rPr>
        <w:t>prior to Quarter 3 of 2025.</w:t>
      </w:r>
      <w:r w:rsidR="00622D1C" w:rsidRPr="00CC0320">
        <w:rPr>
          <w:rFonts w:cs="Arial"/>
          <w:bCs/>
          <w:szCs w:val="24"/>
        </w:rPr>
        <w:t xml:space="preserve"> </w:t>
      </w:r>
      <w:r w:rsidR="00617161" w:rsidRPr="00CC0320">
        <w:rPr>
          <w:rFonts w:cs="Arial"/>
          <w:bCs/>
          <w:szCs w:val="24"/>
        </w:rPr>
        <w:t>Planning and design costs will be incurred</w:t>
      </w:r>
      <w:r w:rsidR="004C4726" w:rsidRPr="00CC0320">
        <w:rPr>
          <w:rFonts w:cs="Arial"/>
          <w:bCs/>
          <w:szCs w:val="24"/>
        </w:rPr>
        <w:t>,</w:t>
      </w:r>
      <w:r w:rsidR="00617161" w:rsidRPr="00CC0320">
        <w:rPr>
          <w:rFonts w:cs="Arial"/>
          <w:bCs/>
          <w:szCs w:val="24"/>
        </w:rPr>
        <w:t xml:space="preserve"> however</w:t>
      </w:r>
      <w:r w:rsidR="00B326CE" w:rsidRPr="00CC0320">
        <w:rPr>
          <w:rFonts w:cs="Arial"/>
          <w:bCs/>
          <w:szCs w:val="24"/>
        </w:rPr>
        <w:t>,</w:t>
      </w:r>
      <w:r w:rsidR="00617161" w:rsidRPr="00CC0320">
        <w:rPr>
          <w:rFonts w:cs="Arial"/>
          <w:bCs/>
          <w:szCs w:val="24"/>
        </w:rPr>
        <w:t xml:space="preserve"> to </w:t>
      </w:r>
      <w:r w:rsidR="0041641F" w:rsidRPr="00CC0320">
        <w:rPr>
          <w:rFonts w:cs="Arial"/>
          <w:bCs/>
          <w:szCs w:val="24"/>
        </w:rPr>
        <w:t xml:space="preserve">enable the submission of the planning application and </w:t>
      </w:r>
      <w:r w:rsidR="00617161" w:rsidRPr="00CC0320">
        <w:rPr>
          <w:rFonts w:cs="Arial"/>
          <w:bCs/>
          <w:szCs w:val="24"/>
        </w:rPr>
        <w:t xml:space="preserve">capture the improvements to the design and layout that have been made during the course of the Business Plan period and to ensure a cohesive </w:t>
      </w:r>
      <w:r w:rsidR="001B21FE" w:rsidRPr="00CC0320">
        <w:rPr>
          <w:rFonts w:cs="Arial"/>
          <w:bCs/>
          <w:szCs w:val="24"/>
        </w:rPr>
        <w:t>approach to the site.</w:t>
      </w:r>
    </w:p>
    <w:p w14:paraId="1958E99C" w14:textId="77777777" w:rsidR="005877DD" w:rsidRDefault="005877DD" w:rsidP="00065019">
      <w:pPr>
        <w:pStyle w:val="Default"/>
      </w:pPr>
    </w:p>
    <w:p w14:paraId="28D780C9" w14:textId="262CA23E" w:rsidR="004D7720" w:rsidRPr="00CC0320" w:rsidRDefault="004D7720" w:rsidP="00065019">
      <w:pPr>
        <w:pStyle w:val="Default"/>
      </w:pPr>
      <w:r w:rsidRPr="00CC0320">
        <w:t>There are k</w:t>
      </w:r>
      <w:r w:rsidR="00065019" w:rsidRPr="00CC0320">
        <w:t xml:space="preserve">ey milestones </w:t>
      </w:r>
      <w:r w:rsidRPr="00CC0320">
        <w:t xml:space="preserve">within the project which </w:t>
      </w:r>
      <w:r w:rsidR="00065019" w:rsidRPr="00CC0320">
        <w:t>are effectively natural ‘Gateways’ or ‘Hold Points’ in the project timeline, where an up</w:t>
      </w:r>
      <w:r w:rsidR="001B21FE" w:rsidRPr="00CC0320">
        <w:t>-</w:t>
      </w:r>
      <w:r w:rsidR="00065019" w:rsidRPr="00CC0320">
        <w:t xml:space="preserve"> to</w:t>
      </w:r>
      <w:r w:rsidR="001B21FE" w:rsidRPr="00CC0320">
        <w:t>-</w:t>
      </w:r>
      <w:r w:rsidR="00065019" w:rsidRPr="00CC0320">
        <w:t xml:space="preserve"> date assessment on viability, cost expenditure to date and future costs budget can be made prior to further commitment. The project is treated as two phases to allow risk to be managed accordingly. </w:t>
      </w:r>
    </w:p>
    <w:p w14:paraId="00EF33E8" w14:textId="77777777" w:rsidR="004D7720" w:rsidRPr="00CC0320" w:rsidRDefault="004D7720" w:rsidP="00065019">
      <w:pPr>
        <w:pStyle w:val="Default"/>
      </w:pPr>
    </w:p>
    <w:p w14:paraId="5FED7BD9" w14:textId="6D52D38C" w:rsidR="00065019" w:rsidRPr="00CC0320" w:rsidRDefault="004D7720" w:rsidP="00065019">
      <w:pPr>
        <w:pStyle w:val="Default"/>
      </w:pPr>
      <w:r w:rsidRPr="00CC0320">
        <w:t>Within the Business Plan t</w:t>
      </w:r>
      <w:r w:rsidR="00065019" w:rsidRPr="00CC0320">
        <w:t xml:space="preserve">he financial section sets out Forecast Costs for the following ‘Hold Points’: </w:t>
      </w:r>
    </w:p>
    <w:p w14:paraId="0F6E5728" w14:textId="77777777" w:rsidR="001544EC" w:rsidRPr="00CC0320" w:rsidRDefault="001544EC" w:rsidP="00065019">
      <w:pPr>
        <w:pStyle w:val="Default"/>
      </w:pPr>
    </w:p>
    <w:p w14:paraId="34B51876" w14:textId="031F8176" w:rsidR="00065019" w:rsidRPr="00CC0320" w:rsidRDefault="00065019" w:rsidP="00E0555F">
      <w:pPr>
        <w:pStyle w:val="Default"/>
        <w:spacing w:after="22"/>
        <w:ind w:left="340"/>
      </w:pPr>
      <w:r w:rsidRPr="00CC0320">
        <w:t xml:space="preserve">- Prior to submission of Planning application </w:t>
      </w:r>
    </w:p>
    <w:p w14:paraId="6AB63154" w14:textId="5F090AB9" w:rsidR="004B70FD" w:rsidRPr="00CC0320" w:rsidRDefault="004B70FD" w:rsidP="00E0555F">
      <w:pPr>
        <w:pStyle w:val="Default"/>
        <w:spacing w:after="22"/>
        <w:ind w:left="340"/>
      </w:pPr>
      <w:r w:rsidRPr="00CC0320">
        <w:t>- Prior to the instruction of the Pre</w:t>
      </w:r>
      <w:r w:rsidR="006379CF" w:rsidRPr="00CC0320">
        <w:t>-</w:t>
      </w:r>
      <w:r w:rsidR="00EC3B0E" w:rsidRPr="00CC0320">
        <w:t>C</w:t>
      </w:r>
      <w:r w:rsidRPr="00CC0320">
        <w:t>ontract Services Agreement for Phase 2 which effectively brings the Building Contractor into play</w:t>
      </w:r>
      <w:r w:rsidR="00987475" w:rsidRPr="00CC0320">
        <w:t xml:space="preserve"> for final design and </w:t>
      </w:r>
      <w:r w:rsidR="00054768" w:rsidRPr="00CC0320">
        <w:t>contract establishment</w:t>
      </w:r>
      <w:r w:rsidR="00987475" w:rsidRPr="00CC0320">
        <w:t>.</w:t>
      </w:r>
    </w:p>
    <w:p w14:paraId="549CDD41" w14:textId="62781065" w:rsidR="00987475" w:rsidRPr="00CC0320" w:rsidRDefault="00987475" w:rsidP="00E0555F">
      <w:pPr>
        <w:pStyle w:val="Default"/>
        <w:spacing w:after="22"/>
        <w:ind w:left="340"/>
      </w:pPr>
      <w:r w:rsidRPr="00CC0320">
        <w:t>- Prior to ‘unconditional</w:t>
      </w:r>
      <w:r w:rsidR="00EC3B0E" w:rsidRPr="00CC0320">
        <w:t>’</w:t>
      </w:r>
      <w:r w:rsidRPr="00CC0320">
        <w:t xml:space="preserve"> </w:t>
      </w:r>
      <w:r w:rsidR="001821AB" w:rsidRPr="00CC0320">
        <w:t>land draw</w:t>
      </w:r>
      <w:r w:rsidR="00054768" w:rsidRPr="00CC0320">
        <w:t>-</w:t>
      </w:r>
      <w:r w:rsidR="001821AB" w:rsidRPr="00CC0320">
        <w:t xml:space="preserve"> down and construction contract for phase 2</w:t>
      </w:r>
    </w:p>
    <w:p w14:paraId="51F2C22D" w14:textId="691028D0" w:rsidR="005251F3" w:rsidRPr="00CC0320" w:rsidRDefault="005251F3" w:rsidP="00065019">
      <w:pPr>
        <w:pStyle w:val="Default"/>
        <w:spacing w:after="22"/>
      </w:pPr>
    </w:p>
    <w:p w14:paraId="582234A1" w14:textId="2B71B38F" w:rsidR="004B70FD" w:rsidRPr="00CC0320" w:rsidRDefault="005251F3" w:rsidP="00065019">
      <w:pPr>
        <w:pStyle w:val="Default"/>
        <w:spacing w:after="22"/>
      </w:pPr>
      <w:r w:rsidRPr="00CC0320">
        <w:t>These will be replicated for phase 3</w:t>
      </w:r>
      <w:r w:rsidR="00537026" w:rsidRPr="00CC0320">
        <w:t>, but there will need to be appr</w:t>
      </w:r>
      <w:r w:rsidR="00F31973" w:rsidRPr="00CC0320">
        <w:t>oval of a viable phase 3 Business Plan</w:t>
      </w:r>
      <w:r w:rsidR="00537026" w:rsidRPr="00CC0320">
        <w:t xml:space="preserve"> </w:t>
      </w:r>
      <w:r w:rsidR="00F31973" w:rsidRPr="00CC0320">
        <w:t xml:space="preserve">and </w:t>
      </w:r>
      <w:r w:rsidR="00537026" w:rsidRPr="00CC0320">
        <w:t xml:space="preserve">a </w:t>
      </w:r>
      <w:r w:rsidR="00EC3B0E" w:rsidRPr="00CC0320">
        <w:t>‘</w:t>
      </w:r>
      <w:r w:rsidR="00537026" w:rsidRPr="00CC0320">
        <w:t>go</w:t>
      </w:r>
      <w:r w:rsidR="00EC3B0E" w:rsidRPr="00CC0320">
        <w:t>’</w:t>
      </w:r>
      <w:r w:rsidR="00537026" w:rsidRPr="00CC0320">
        <w:t xml:space="preserve"> decision for phase 3 design and development before that applies.</w:t>
      </w:r>
    </w:p>
    <w:p w14:paraId="2EA60A79" w14:textId="3DD884D1" w:rsidR="00E42B90" w:rsidRPr="00CC0320" w:rsidRDefault="00E42B90" w:rsidP="00065019">
      <w:pPr>
        <w:pStyle w:val="Default"/>
        <w:spacing w:after="22"/>
      </w:pPr>
    </w:p>
    <w:p w14:paraId="366C101B" w14:textId="7FFB440B" w:rsidR="00E42B90" w:rsidRPr="00CC0320" w:rsidRDefault="009D6DF1" w:rsidP="006640DB">
      <w:pPr>
        <w:pStyle w:val="Default"/>
        <w:numPr>
          <w:ilvl w:val="0"/>
          <w:numId w:val="15"/>
        </w:numPr>
        <w:spacing w:after="22"/>
        <w:rPr>
          <w:b/>
          <w:bCs/>
        </w:rPr>
      </w:pPr>
      <w:r w:rsidRPr="00CC0320">
        <w:rPr>
          <w:b/>
          <w:bCs/>
        </w:rPr>
        <w:t>The process for the addition of the Grange Farm estate to the HSDP</w:t>
      </w:r>
    </w:p>
    <w:p w14:paraId="5897B7BB" w14:textId="6BC2253C" w:rsidR="009D6DF1" w:rsidRPr="00CC0320" w:rsidRDefault="005D0253" w:rsidP="00065019">
      <w:pPr>
        <w:pStyle w:val="Default"/>
        <w:spacing w:after="22"/>
      </w:pPr>
      <w:r w:rsidRPr="00CC0320">
        <w:t>This process is governed by Schedule 8 of the HSDP Members Agreement.</w:t>
      </w:r>
    </w:p>
    <w:p w14:paraId="4F718FC4" w14:textId="61193C66" w:rsidR="00065019" w:rsidRPr="00CC0320" w:rsidRDefault="00A65B4D" w:rsidP="00F92FA4">
      <w:pPr>
        <w:pStyle w:val="Default"/>
        <w:spacing w:after="22"/>
      </w:pPr>
      <w:r w:rsidRPr="00CC0320">
        <w:t>At Cabinet in November 2021</w:t>
      </w:r>
      <w:r w:rsidR="00F77D70" w:rsidRPr="00CC0320">
        <w:t xml:space="preserve"> </w:t>
      </w:r>
      <w:r w:rsidR="00225C99" w:rsidRPr="00CC0320">
        <w:t>Cabinet acknowledged that the HSDP had brought forward a development proposal</w:t>
      </w:r>
      <w:r w:rsidR="00E20F75" w:rsidRPr="00CC0320">
        <w:t xml:space="preserve"> and </w:t>
      </w:r>
      <w:r w:rsidR="00564DEC" w:rsidRPr="00CC0320">
        <w:t>requested</w:t>
      </w:r>
      <w:r w:rsidR="006821D9" w:rsidRPr="00CC0320">
        <w:t xml:space="preserve"> it to prepare a Business Plan. Approval of this plan will incorporate the site into the HSDP and </w:t>
      </w:r>
      <w:r w:rsidR="00391A50" w:rsidRPr="00CC0320">
        <w:t>trigger the</w:t>
      </w:r>
      <w:r w:rsidR="00F92FA4" w:rsidRPr="00CC0320">
        <w:t xml:space="preserve"> start of the development process.</w:t>
      </w:r>
    </w:p>
    <w:p w14:paraId="328D17FB" w14:textId="72F7A5A3" w:rsidR="009A7317" w:rsidRPr="00CC0320" w:rsidRDefault="009A7317" w:rsidP="001472A8">
      <w:pPr>
        <w:spacing w:before="240"/>
        <w:rPr>
          <w:rFonts w:cs="Arial"/>
          <w:bCs/>
          <w:szCs w:val="24"/>
        </w:rPr>
      </w:pPr>
      <w:r w:rsidRPr="00CC0320">
        <w:rPr>
          <w:rFonts w:cs="Arial"/>
          <w:bCs/>
          <w:szCs w:val="24"/>
        </w:rPr>
        <w:t xml:space="preserve">The recommendation of the HSDP board and the recommendation to Cabinet is </w:t>
      </w:r>
      <w:r w:rsidR="00321AF8" w:rsidRPr="00CC0320">
        <w:rPr>
          <w:rFonts w:cs="Arial"/>
          <w:bCs/>
          <w:szCs w:val="24"/>
        </w:rPr>
        <w:t>to</w:t>
      </w:r>
      <w:r w:rsidRPr="00CC0320">
        <w:rPr>
          <w:rFonts w:cs="Arial"/>
          <w:bCs/>
          <w:szCs w:val="24"/>
        </w:rPr>
        <w:t xml:space="preserve"> proceed at this point to incorporate the schemes into the HSDP and proceed with the development of</w:t>
      </w:r>
      <w:r w:rsidR="0073507E" w:rsidRPr="00CC0320">
        <w:rPr>
          <w:rFonts w:cs="Arial"/>
          <w:bCs/>
          <w:szCs w:val="24"/>
        </w:rPr>
        <w:t xml:space="preserve"> </w:t>
      </w:r>
      <w:r w:rsidR="00E743C1" w:rsidRPr="00CC0320">
        <w:rPr>
          <w:rFonts w:cs="Arial"/>
          <w:bCs/>
          <w:szCs w:val="24"/>
        </w:rPr>
        <w:t xml:space="preserve">phase 2. This will be consistent with the approach previously adopted when Phase 1 was commenced independently </w:t>
      </w:r>
      <w:r w:rsidR="00435411" w:rsidRPr="00CC0320">
        <w:rPr>
          <w:rFonts w:cs="Arial"/>
          <w:bCs/>
          <w:szCs w:val="24"/>
        </w:rPr>
        <w:t>to allow time for the</w:t>
      </w:r>
      <w:r w:rsidR="00E743C1" w:rsidRPr="00CC0320">
        <w:rPr>
          <w:rFonts w:cs="Arial"/>
          <w:bCs/>
          <w:szCs w:val="24"/>
        </w:rPr>
        <w:t xml:space="preserve"> Council </w:t>
      </w:r>
      <w:r w:rsidR="00435411" w:rsidRPr="00CC0320">
        <w:rPr>
          <w:rFonts w:cs="Arial"/>
          <w:bCs/>
          <w:szCs w:val="24"/>
        </w:rPr>
        <w:t xml:space="preserve">to consider the options for achieving </w:t>
      </w:r>
      <w:r w:rsidR="00E743C1" w:rsidRPr="00CC0320">
        <w:rPr>
          <w:rFonts w:cs="Arial"/>
          <w:bCs/>
          <w:szCs w:val="24"/>
        </w:rPr>
        <w:t>viab</w:t>
      </w:r>
      <w:r w:rsidR="00435411" w:rsidRPr="00CC0320">
        <w:rPr>
          <w:rFonts w:cs="Arial"/>
          <w:bCs/>
          <w:szCs w:val="24"/>
        </w:rPr>
        <w:t xml:space="preserve">ility </w:t>
      </w:r>
      <w:r w:rsidR="001F6E2B" w:rsidRPr="00CC0320">
        <w:rPr>
          <w:rFonts w:cs="Arial"/>
          <w:bCs/>
          <w:szCs w:val="24"/>
        </w:rPr>
        <w:t xml:space="preserve">for </w:t>
      </w:r>
      <w:r w:rsidR="00E743C1" w:rsidRPr="00CC0320">
        <w:rPr>
          <w:rFonts w:cs="Arial"/>
          <w:bCs/>
          <w:szCs w:val="24"/>
        </w:rPr>
        <w:t>Phases 2 and 3.</w:t>
      </w:r>
    </w:p>
    <w:p w14:paraId="700C001E" w14:textId="04740787" w:rsidR="003A0FE8" w:rsidRPr="00CC0320" w:rsidRDefault="003A0FE8" w:rsidP="001472A8">
      <w:pPr>
        <w:spacing w:before="240"/>
        <w:rPr>
          <w:rFonts w:cs="Arial"/>
          <w:bCs/>
          <w:szCs w:val="24"/>
        </w:rPr>
      </w:pPr>
      <w:r w:rsidRPr="00CC0320">
        <w:rPr>
          <w:rFonts w:cs="Arial"/>
          <w:bCs/>
          <w:szCs w:val="24"/>
        </w:rPr>
        <w:lastRenderedPageBreak/>
        <w:t xml:space="preserve">Approval of Business Plans is </w:t>
      </w:r>
      <w:r w:rsidR="005B377B" w:rsidRPr="00CC0320">
        <w:rPr>
          <w:rFonts w:cs="Arial"/>
          <w:bCs/>
          <w:szCs w:val="24"/>
        </w:rPr>
        <w:t>subject to the approval of both member parties within the partnership.</w:t>
      </w:r>
      <w:r w:rsidR="003736DB" w:rsidRPr="00CC0320">
        <w:rPr>
          <w:rFonts w:cs="Arial"/>
          <w:bCs/>
          <w:szCs w:val="24"/>
        </w:rPr>
        <w:t xml:space="preserve"> The appropriate Boards within Wates have approved </w:t>
      </w:r>
      <w:r w:rsidR="00EE0EC8" w:rsidRPr="00CC0320">
        <w:rPr>
          <w:rFonts w:cs="Arial"/>
          <w:bCs/>
          <w:szCs w:val="24"/>
        </w:rPr>
        <w:t>the business plans for Phase 2 and sanctioned expenditure to the point of the sch</w:t>
      </w:r>
      <w:r w:rsidR="00FA65E1" w:rsidRPr="00CC0320">
        <w:rPr>
          <w:rFonts w:cs="Arial"/>
          <w:bCs/>
          <w:szCs w:val="24"/>
        </w:rPr>
        <w:t>e</w:t>
      </w:r>
      <w:r w:rsidR="00EE0EC8" w:rsidRPr="00CC0320">
        <w:rPr>
          <w:rFonts w:cs="Arial"/>
          <w:bCs/>
          <w:szCs w:val="24"/>
        </w:rPr>
        <w:t>me becoming unconditional and ready for development.</w:t>
      </w:r>
    </w:p>
    <w:p w14:paraId="1BAF9F10" w14:textId="7F1F0391" w:rsidR="00CA04A1" w:rsidRPr="006640DB" w:rsidRDefault="00CA04A1" w:rsidP="006640DB">
      <w:pPr>
        <w:pStyle w:val="ListParagraph"/>
        <w:numPr>
          <w:ilvl w:val="0"/>
          <w:numId w:val="15"/>
        </w:numPr>
        <w:spacing w:before="240"/>
        <w:rPr>
          <w:rFonts w:cs="Arial"/>
          <w:b/>
          <w:szCs w:val="24"/>
        </w:rPr>
      </w:pPr>
      <w:r w:rsidRPr="006640DB">
        <w:rPr>
          <w:rFonts w:cs="Arial"/>
          <w:b/>
          <w:szCs w:val="24"/>
        </w:rPr>
        <w:t>The legal documents and development routes</w:t>
      </w:r>
    </w:p>
    <w:p w14:paraId="27F42486" w14:textId="11D8CB1E" w:rsidR="00CA04A1" w:rsidRPr="00CC0320" w:rsidRDefault="009B049A" w:rsidP="001472A8">
      <w:pPr>
        <w:spacing w:before="240"/>
        <w:rPr>
          <w:rFonts w:cs="Arial"/>
          <w:bCs/>
          <w:szCs w:val="24"/>
        </w:rPr>
      </w:pPr>
      <w:r w:rsidRPr="00CC0320">
        <w:rPr>
          <w:rFonts w:cs="Arial"/>
          <w:bCs/>
          <w:szCs w:val="24"/>
        </w:rPr>
        <w:t>For the market sale housing</w:t>
      </w:r>
      <w:r w:rsidR="006738F0" w:rsidRPr="00CC0320">
        <w:rPr>
          <w:rFonts w:cs="Arial"/>
          <w:bCs/>
          <w:szCs w:val="24"/>
        </w:rPr>
        <w:t>,</w:t>
      </w:r>
      <w:r w:rsidR="007F1CD7" w:rsidRPr="00CC0320">
        <w:rPr>
          <w:rFonts w:cs="Arial"/>
          <w:bCs/>
          <w:szCs w:val="24"/>
        </w:rPr>
        <w:t xml:space="preserve"> the core approach of the HSDP will apply. There will be a development agreement</w:t>
      </w:r>
      <w:r w:rsidR="004418DA" w:rsidRPr="00CC0320">
        <w:rPr>
          <w:rFonts w:cs="Arial"/>
          <w:bCs/>
          <w:szCs w:val="24"/>
        </w:rPr>
        <w:t xml:space="preserve"> specifying the nature of the development and the HSDP’s obligations under that agreement.</w:t>
      </w:r>
      <w:r w:rsidR="00FE43FF" w:rsidRPr="00CC0320">
        <w:rPr>
          <w:rFonts w:cs="Arial"/>
          <w:bCs/>
          <w:szCs w:val="24"/>
        </w:rPr>
        <w:t xml:space="preserve"> The cost</w:t>
      </w:r>
      <w:r w:rsidR="00DA18DC" w:rsidRPr="00CC0320">
        <w:rPr>
          <w:rFonts w:cs="Arial"/>
          <w:bCs/>
          <w:szCs w:val="24"/>
        </w:rPr>
        <w:t>s</w:t>
      </w:r>
      <w:r w:rsidR="00FE43FF" w:rsidRPr="00CC0320">
        <w:rPr>
          <w:rFonts w:cs="Arial"/>
          <w:bCs/>
          <w:szCs w:val="24"/>
        </w:rPr>
        <w:t xml:space="preserve"> of development which are shared on a 50/ 50 basis</w:t>
      </w:r>
      <w:r w:rsidR="00A37E1E" w:rsidRPr="00CC0320">
        <w:rPr>
          <w:rFonts w:cs="Arial"/>
          <w:bCs/>
          <w:szCs w:val="24"/>
        </w:rPr>
        <w:t xml:space="preserve"> are met through the Council’s land and any additional cash required being matched by Wates resources up to </w:t>
      </w:r>
      <w:r w:rsidR="00B91287" w:rsidRPr="00CC0320">
        <w:rPr>
          <w:rFonts w:cs="Arial"/>
          <w:bCs/>
          <w:szCs w:val="24"/>
        </w:rPr>
        <w:t xml:space="preserve">circa 35% of the development cost. The rest is met by borrowing on behalf of the </w:t>
      </w:r>
      <w:r w:rsidR="006B0A23" w:rsidRPr="00CC0320">
        <w:rPr>
          <w:rFonts w:cs="Arial"/>
          <w:bCs/>
          <w:szCs w:val="24"/>
        </w:rPr>
        <w:t>HSDP</w:t>
      </w:r>
      <w:r w:rsidR="009B1315" w:rsidRPr="00CC0320">
        <w:rPr>
          <w:rFonts w:cs="Arial"/>
          <w:bCs/>
          <w:szCs w:val="24"/>
        </w:rPr>
        <w:t xml:space="preserve">. The </w:t>
      </w:r>
      <w:r w:rsidR="00894F22" w:rsidRPr="00CC0320">
        <w:rPr>
          <w:rFonts w:cs="Arial"/>
          <w:bCs/>
          <w:szCs w:val="24"/>
        </w:rPr>
        <w:t>returns are split on a 50/50 basis.</w:t>
      </w:r>
    </w:p>
    <w:p w14:paraId="39A90DF7" w14:textId="6862E585" w:rsidR="00894F22" w:rsidRPr="00CC0320" w:rsidRDefault="00894F22" w:rsidP="001472A8">
      <w:pPr>
        <w:spacing w:before="240"/>
        <w:rPr>
          <w:rFonts w:cs="Arial"/>
          <w:bCs/>
          <w:szCs w:val="24"/>
        </w:rPr>
      </w:pPr>
      <w:r w:rsidRPr="00CC0320">
        <w:rPr>
          <w:rFonts w:cs="Arial"/>
          <w:bCs/>
          <w:szCs w:val="24"/>
        </w:rPr>
        <w:t>For the affordable housing</w:t>
      </w:r>
      <w:r w:rsidR="006738F0" w:rsidRPr="00CC0320">
        <w:rPr>
          <w:rFonts w:cs="Arial"/>
          <w:bCs/>
          <w:szCs w:val="24"/>
        </w:rPr>
        <w:t>,</w:t>
      </w:r>
      <w:r w:rsidRPr="00CC0320">
        <w:rPr>
          <w:rFonts w:cs="Arial"/>
          <w:bCs/>
          <w:szCs w:val="24"/>
        </w:rPr>
        <w:t xml:space="preserve"> a Community Works Agreement </w:t>
      </w:r>
      <w:r w:rsidR="0026651C" w:rsidRPr="00CC0320">
        <w:rPr>
          <w:rFonts w:cs="Arial"/>
          <w:bCs/>
          <w:szCs w:val="24"/>
        </w:rPr>
        <w:t xml:space="preserve">(CWA) </w:t>
      </w:r>
      <w:r w:rsidRPr="00CC0320">
        <w:rPr>
          <w:rFonts w:cs="Arial"/>
          <w:bCs/>
          <w:szCs w:val="24"/>
        </w:rPr>
        <w:t>will be in place. This is the form of agreement used when the Council directly commissions</w:t>
      </w:r>
      <w:r w:rsidR="0013524A" w:rsidRPr="00CC0320">
        <w:rPr>
          <w:rFonts w:cs="Arial"/>
          <w:bCs/>
          <w:szCs w:val="24"/>
        </w:rPr>
        <w:t xml:space="preserve"> work</w:t>
      </w:r>
      <w:r w:rsidR="00FC6124" w:rsidRPr="00CC0320">
        <w:rPr>
          <w:rFonts w:cs="Arial"/>
          <w:bCs/>
          <w:szCs w:val="24"/>
        </w:rPr>
        <w:t xml:space="preserve"> from the HSDP. The housing is purchased at cost, in this case funded from the Housing Revenue Account.</w:t>
      </w:r>
      <w:r w:rsidR="002F6B9F" w:rsidRPr="00CC0320">
        <w:rPr>
          <w:rFonts w:cs="Arial"/>
          <w:bCs/>
          <w:szCs w:val="24"/>
        </w:rPr>
        <w:t xml:space="preserve"> It has always been the case that the Council would own the replacement housing </w:t>
      </w:r>
      <w:r w:rsidR="001C7498" w:rsidRPr="00CC0320">
        <w:rPr>
          <w:rFonts w:cs="Arial"/>
          <w:bCs/>
          <w:szCs w:val="24"/>
        </w:rPr>
        <w:t>at Grange Farm</w:t>
      </w:r>
      <w:r w:rsidR="00F4513F" w:rsidRPr="00CC0320">
        <w:rPr>
          <w:rFonts w:cs="Arial"/>
          <w:bCs/>
          <w:szCs w:val="24"/>
        </w:rPr>
        <w:t xml:space="preserve"> because of the tenants who are moving into new homes on the estate and wish to remain secure tenants. That being the case the Community Works </w:t>
      </w:r>
      <w:r w:rsidR="008C2E2C" w:rsidRPr="00CC0320">
        <w:rPr>
          <w:rFonts w:cs="Arial"/>
          <w:bCs/>
          <w:szCs w:val="24"/>
        </w:rPr>
        <w:t>A</w:t>
      </w:r>
      <w:r w:rsidR="00F4513F" w:rsidRPr="00CC0320">
        <w:rPr>
          <w:rFonts w:cs="Arial"/>
          <w:bCs/>
          <w:szCs w:val="24"/>
        </w:rPr>
        <w:t>greement is the appropriate legal mechanism</w:t>
      </w:r>
      <w:r w:rsidR="008C2E2C" w:rsidRPr="00CC0320">
        <w:rPr>
          <w:rFonts w:cs="Arial"/>
          <w:bCs/>
          <w:szCs w:val="24"/>
        </w:rPr>
        <w:t>.</w:t>
      </w:r>
      <w:r w:rsidR="006118CC" w:rsidRPr="00CC0320">
        <w:rPr>
          <w:rFonts w:cs="Arial"/>
          <w:bCs/>
          <w:szCs w:val="24"/>
        </w:rPr>
        <w:t xml:space="preserve"> This is also true of the Community Facilities planned for Phase 3</w:t>
      </w:r>
    </w:p>
    <w:p w14:paraId="25F975D0" w14:textId="1D213A1F" w:rsidR="00B2640E" w:rsidRPr="006640DB" w:rsidRDefault="006640DB" w:rsidP="001472A8">
      <w:pPr>
        <w:spacing w:before="240"/>
        <w:rPr>
          <w:rFonts w:ascii="Arial Black" w:hAnsi="Arial Black" w:cs="Arial"/>
          <w:b/>
          <w:szCs w:val="24"/>
        </w:rPr>
      </w:pPr>
      <w:r w:rsidRPr="006640DB">
        <w:rPr>
          <w:rFonts w:ascii="Arial Black" w:hAnsi="Arial Black" w:cs="Arial"/>
          <w:b/>
          <w:szCs w:val="24"/>
        </w:rPr>
        <w:t>2.</w:t>
      </w:r>
      <w:r w:rsidR="00DD1436">
        <w:rPr>
          <w:rFonts w:ascii="Arial Black" w:hAnsi="Arial Black" w:cs="Arial"/>
          <w:b/>
          <w:szCs w:val="24"/>
        </w:rPr>
        <w:t>7</w:t>
      </w:r>
      <w:r w:rsidRPr="006640DB">
        <w:rPr>
          <w:rFonts w:ascii="Arial Black" w:hAnsi="Arial Black" w:cs="Arial"/>
          <w:b/>
          <w:szCs w:val="24"/>
        </w:rPr>
        <w:t xml:space="preserve"> </w:t>
      </w:r>
      <w:r w:rsidR="002A75BA" w:rsidRPr="006640DB">
        <w:rPr>
          <w:rFonts w:ascii="Arial Black" w:hAnsi="Arial Black" w:cs="Arial"/>
          <w:b/>
          <w:szCs w:val="24"/>
        </w:rPr>
        <w:t>Way forward</w:t>
      </w:r>
    </w:p>
    <w:p w14:paraId="61289FC5" w14:textId="47276F7B" w:rsidR="002A75BA" w:rsidRPr="00CC0320" w:rsidRDefault="00A73752" w:rsidP="001472A8">
      <w:pPr>
        <w:spacing w:before="240"/>
        <w:rPr>
          <w:rFonts w:cs="Arial"/>
          <w:bCs/>
          <w:szCs w:val="24"/>
        </w:rPr>
      </w:pPr>
      <w:r w:rsidRPr="00CC0320">
        <w:rPr>
          <w:rFonts w:cs="Arial"/>
          <w:bCs/>
          <w:szCs w:val="24"/>
        </w:rPr>
        <w:t xml:space="preserve">For phase 2 it is proposed that </w:t>
      </w:r>
      <w:r w:rsidR="00035FA5" w:rsidRPr="00CC0320">
        <w:rPr>
          <w:rFonts w:cs="Arial"/>
          <w:bCs/>
          <w:szCs w:val="24"/>
        </w:rPr>
        <w:t>subject to Cabinet</w:t>
      </w:r>
      <w:r w:rsidR="00FA65E1" w:rsidRPr="00CC0320">
        <w:rPr>
          <w:rFonts w:cs="Arial"/>
          <w:bCs/>
          <w:szCs w:val="24"/>
        </w:rPr>
        <w:t xml:space="preserve"> approval </w:t>
      </w:r>
      <w:r w:rsidR="00FD6B28" w:rsidRPr="00CC0320">
        <w:rPr>
          <w:rFonts w:cs="Arial"/>
          <w:bCs/>
          <w:szCs w:val="24"/>
        </w:rPr>
        <w:t xml:space="preserve">the scheme is developed and planning permission sought in September 2023. </w:t>
      </w:r>
      <w:r w:rsidR="009F3B78" w:rsidRPr="00CC0320">
        <w:rPr>
          <w:rFonts w:cs="Arial"/>
          <w:bCs/>
          <w:szCs w:val="24"/>
        </w:rPr>
        <w:t xml:space="preserve">Demolition </w:t>
      </w:r>
      <w:r w:rsidR="00C603B4" w:rsidRPr="00CC0320">
        <w:rPr>
          <w:rFonts w:cs="Arial"/>
          <w:bCs/>
          <w:szCs w:val="24"/>
        </w:rPr>
        <w:t xml:space="preserve">of the existing homes </w:t>
      </w:r>
      <w:r w:rsidR="00080B61" w:rsidRPr="00CC0320">
        <w:rPr>
          <w:rFonts w:cs="Arial"/>
          <w:bCs/>
          <w:szCs w:val="24"/>
        </w:rPr>
        <w:t xml:space="preserve">in Phase 2 are planned for September 2023 </w:t>
      </w:r>
      <w:r w:rsidR="00BA7BD7" w:rsidRPr="00CC0320">
        <w:rPr>
          <w:rFonts w:cs="Arial"/>
          <w:bCs/>
          <w:szCs w:val="24"/>
        </w:rPr>
        <w:t xml:space="preserve">as these homes will be vacant following the rehousing of tenants in the new Phase 1 homes. </w:t>
      </w:r>
      <w:r w:rsidR="009F3B78" w:rsidRPr="00CC0320">
        <w:rPr>
          <w:rFonts w:cs="Arial"/>
          <w:bCs/>
          <w:szCs w:val="24"/>
        </w:rPr>
        <w:t xml:space="preserve"> </w:t>
      </w:r>
      <w:r w:rsidR="00694C16" w:rsidRPr="00CC0320">
        <w:rPr>
          <w:rFonts w:cs="Arial"/>
          <w:bCs/>
          <w:szCs w:val="24"/>
        </w:rPr>
        <w:t>Other e</w:t>
      </w:r>
      <w:r w:rsidR="009F3B78" w:rsidRPr="00CC0320">
        <w:rPr>
          <w:rFonts w:cs="Arial"/>
          <w:bCs/>
          <w:szCs w:val="24"/>
        </w:rPr>
        <w:t>nabling works follow with development of housing to start in October 2024. It may be that these timescales can be improved upon</w:t>
      </w:r>
      <w:r w:rsidR="00624435" w:rsidRPr="00CC0320">
        <w:rPr>
          <w:rFonts w:cs="Arial"/>
          <w:bCs/>
          <w:szCs w:val="24"/>
        </w:rPr>
        <w:t>.</w:t>
      </w:r>
    </w:p>
    <w:p w14:paraId="0BCE5483" w14:textId="4E2A897A" w:rsidR="006976F8" w:rsidRPr="00CC0320" w:rsidRDefault="00907CD7" w:rsidP="001472A8">
      <w:pPr>
        <w:spacing w:before="240"/>
        <w:rPr>
          <w:rFonts w:cs="Arial"/>
          <w:bCs/>
          <w:szCs w:val="24"/>
        </w:rPr>
      </w:pPr>
      <w:r w:rsidRPr="00CC0320">
        <w:rPr>
          <w:rFonts w:cs="Arial"/>
          <w:bCs/>
          <w:szCs w:val="24"/>
        </w:rPr>
        <w:t>Continued review of the Business Plan will take place and financial decision making reviewed in accordance with the ‘hold points’ listed above.</w:t>
      </w:r>
    </w:p>
    <w:p w14:paraId="50E8FB8A" w14:textId="7399B803" w:rsidR="008C2E2C" w:rsidRPr="00CC0320" w:rsidRDefault="008C2E2C" w:rsidP="001472A8">
      <w:pPr>
        <w:spacing w:before="240"/>
        <w:rPr>
          <w:rFonts w:cs="Arial"/>
          <w:bCs/>
          <w:szCs w:val="24"/>
        </w:rPr>
      </w:pPr>
      <w:r w:rsidRPr="00CC0320">
        <w:rPr>
          <w:rFonts w:cs="Arial"/>
          <w:bCs/>
          <w:szCs w:val="24"/>
        </w:rPr>
        <w:t xml:space="preserve">Both the legal documents </w:t>
      </w:r>
      <w:r w:rsidR="00A733B1" w:rsidRPr="00CC0320">
        <w:rPr>
          <w:rFonts w:cs="Arial"/>
          <w:bCs/>
          <w:szCs w:val="24"/>
        </w:rPr>
        <w:t>described above will be negotiated and finalised during the development period.</w:t>
      </w:r>
    </w:p>
    <w:p w14:paraId="6B355076" w14:textId="794470D7" w:rsidR="00614EFA" w:rsidRPr="00CC0320" w:rsidRDefault="002C53DC" w:rsidP="001472A8">
      <w:pPr>
        <w:spacing w:before="240"/>
        <w:rPr>
          <w:rFonts w:cs="Arial"/>
          <w:bCs/>
          <w:szCs w:val="24"/>
        </w:rPr>
      </w:pPr>
      <w:r w:rsidRPr="00CC0320">
        <w:rPr>
          <w:rFonts w:cs="Arial"/>
          <w:bCs/>
          <w:szCs w:val="24"/>
        </w:rPr>
        <w:t xml:space="preserve">When the design and development process is progressed, taking into account the </w:t>
      </w:r>
      <w:r w:rsidR="002049E0" w:rsidRPr="00CC0320">
        <w:rPr>
          <w:rFonts w:cs="Arial"/>
          <w:bCs/>
          <w:szCs w:val="24"/>
        </w:rPr>
        <w:t>gateway,</w:t>
      </w:r>
      <w:r w:rsidRPr="00CC0320">
        <w:rPr>
          <w:rFonts w:cs="Arial"/>
          <w:bCs/>
          <w:szCs w:val="24"/>
        </w:rPr>
        <w:t xml:space="preserve"> or holding points described above</w:t>
      </w:r>
      <w:r w:rsidR="00015669" w:rsidRPr="00CC0320">
        <w:rPr>
          <w:rFonts w:cs="Arial"/>
          <w:bCs/>
          <w:szCs w:val="24"/>
        </w:rPr>
        <w:t>,</w:t>
      </w:r>
      <w:r w:rsidRPr="00CC0320">
        <w:rPr>
          <w:rFonts w:cs="Arial"/>
          <w:bCs/>
          <w:szCs w:val="24"/>
        </w:rPr>
        <w:t xml:space="preserve"> Cabinet will receive an update Business Plan for approval prior to commencing development</w:t>
      </w:r>
      <w:r w:rsidR="00047328" w:rsidRPr="00CC0320">
        <w:rPr>
          <w:rFonts w:cs="Arial"/>
          <w:bCs/>
          <w:szCs w:val="24"/>
        </w:rPr>
        <w:t>.</w:t>
      </w:r>
    </w:p>
    <w:p w14:paraId="376D8FC2" w14:textId="11903588" w:rsidR="00E95426" w:rsidRPr="006640DB" w:rsidRDefault="00E95426" w:rsidP="006640DB">
      <w:pPr>
        <w:pStyle w:val="ListParagraph"/>
        <w:numPr>
          <w:ilvl w:val="0"/>
          <w:numId w:val="16"/>
        </w:numPr>
        <w:spacing w:before="240"/>
        <w:rPr>
          <w:rFonts w:cs="Arial"/>
          <w:b/>
          <w:szCs w:val="24"/>
        </w:rPr>
      </w:pPr>
      <w:r w:rsidRPr="006640DB">
        <w:rPr>
          <w:rFonts w:cs="Arial"/>
          <w:b/>
          <w:szCs w:val="24"/>
        </w:rPr>
        <w:t>S123 Best Consideration</w:t>
      </w:r>
    </w:p>
    <w:p w14:paraId="5653619E" w14:textId="51A9EB4E" w:rsidR="00E95426" w:rsidRPr="00CC0320" w:rsidRDefault="001A7F2F" w:rsidP="001472A8">
      <w:pPr>
        <w:spacing w:before="240"/>
        <w:rPr>
          <w:rFonts w:cs="Arial"/>
          <w:bCs/>
          <w:szCs w:val="24"/>
        </w:rPr>
      </w:pPr>
      <w:r w:rsidRPr="00CC0320">
        <w:rPr>
          <w:rFonts w:cs="Arial"/>
          <w:bCs/>
          <w:szCs w:val="24"/>
        </w:rPr>
        <w:t xml:space="preserve">The Council’s commercial advisers Avison Young </w:t>
      </w:r>
      <w:r w:rsidR="00D70AE4" w:rsidRPr="00CC0320">
        <w:rPr>
          <w:rFonts w:cs="Arial"/>
          <w:bCs/>
          <w:szCs w:val="24"/>
        </w:rPr>
        <w:t xml:space="preserve">have confirmed that at this stage the inclusion of Grange </w:t>
      </w:r>
      <w:r w:rsidR="00F93222" w:rsidRPr="00CC0320">
        <w:rPr>
          <w:rFonts w:cs="Arial"/>
          <w:bCs/>
          <w:szCs w:val="24"/>
        </w:rPr>
        <w:t>F</w:t>
      </w:r>
      <w:r w:rsidR="00D70AE4" w:rsidRPr="00CC0320">
        <w:rPr>
          <w:rFonts w:cs="Arial"/>
          <w:bCs/>
          <w:szCs w:val="24"/>
        </w:rPr>
        <w:t xml:space="preserve">arm </w:t>
      </w:r>
      <w:r w:rsidR="00E544BB" w:rsidRPr="00CC0320">
        <w:rPr>
          <w:rFonts w:cs="Arial"/>
          <w:bCs/>
          <w:szCs w:val="24"/>
        </w:rPr>
        <w:t>t</w:t>
      </w:r>
      <w:r w:rsidR="00C72489" w:rsidRPr="00CC0320">
        <w:rPr>
          <w:rFonts w:cs="Arial"/>
          <w:bCs/>
          <w:szCs w:val="24"/>
        </w:rPr>
        <w:t>akes pla</w:t>
      </w:r>
      <w:r w:rsidR="00E544BB" w:rsidRPr="00CC0320">
        <w:rPr>
          <w:rFonts w:cs="Arial"/>
          <w:bCs/>
          <w:szCs w:val="24"/>
        </w:rPr>
        <w:t>c</w:t>
      </w:r>
      <w:r w:rsidR="00C72489" w:rsidRPr="00CC0320">
        <w:rPr>
          <w:rFonts w:cs="Arial"/>
          <w:bCs/>
          <w:szCs w:val="24"/>
        </w:rPr>
        <w:t>e within the</w:t>
      </w:r>
      <w:r w:rsidR="00E544BB" w:rsidRPr="00CC0320">
        <w:rPr>
          <w:rFonts w:cs="Arial"/>
          <w:bCs/>
          <w:szCs w:val="24"/>
        </w:rPr>
        <w:t xml:space="preserve"> structure set out in the Members agreement</w:t>
      </w:r>
      <w:r w:rsidR="0077553C" w:rsidRPr="00CC0320">
        <w:rPr>
          <w:rFonts w:cs="Arial"/>
          <w:bCs/>
          <w:szCs w:val="24"/>
        </w:rPr>
        <w:t>. At this stage</w:t>
      </w:r>
      <w:r w:rsidR="002C38C6" w:rsidRPr="00CC0320">
        <w:rPr>
          <w:rFonts w:cs="Arial"/>
          <w:bCs/>
          <w:szCs w:val="24"/>
        </w:rPr>
        <w:t xml:space="preserve"> no report on </w:t>
      </w:r>
      <w:r w:rsidR="00CF4A37" w:rsidRPr="00CC0320">
        <w:rPr>
          <w:rFonts w:cs="Arial"/>
          <w:bCs/>
          <w:szCs w:val="24"/>
        </w:rPr>
        <w:t>s123 Best Consideration is required.</w:t>
      </w:r>
      <w:r w:rsidR="00C72489" w:rsidRPr="00CC0320">
        <w:rPr>
          <w:rFonts w:cs="Arial"/>
          <w:bCs/>
          <w:szCs w:val="24"/>
        </w:rPr>
        <w:t xml:space="preserve"> </w:t>
      </w:r>
      <w:r w:rsidR="00845848" w:rsidRPr="00CC0320">
        <w:rPr>
          <w:rFonts w:cs="Arial"/>
          <w:bCs/>
          <w:szCs w:val="24"/>
        </w:rPr>
        <w:t xml:space="preserve">This </w:t>
      </w:r>
      <w:r w:rsidR="00F93222" w:rsidRPr="00CC0320">
        <w:rPr>
          <w:rFonts w:cs="Arial"/>
          <w:bCs/>
          <w:szCs w:val="24"/>
        </w:rPr>
        <w:t>confirmation</w:t>
      </w:r>
      <w:r w:rsidR="00845848" w:rsidRPr="00CC0320">
        <w:rPr>
          <w:rFonts w:cs="Arial"/>
          <w:bCs/>
          <w:szCs w:val="24"/>
        </w:rPr>
        <w:t xml:space="preserve"> is attached as Appendix </w:t>
      </w:r>
      <w:r w:rsidR="00203F8F" w:rsidRPr="00CC0320">
        <w:rPr>
          <w:rFonts w:cs="Arial"/>
          <w:bCs/>
          <w:szCs w:val="24"/>
        </w:rPr>
        <w:t>3</w:t>
      </w:r>
      <w:r w:rsidR="00F44ED2" w:rsidRPr="00CC0320">
        <w:rPr>
          <w:rFonts w:cs="Arial"/>
          <w:bCs/>
          <w:szCs w:val="24"/>
        </w:rPr>
        <w:t xml:space="preserve">. </w:t>
      </w:r>
      <w:r w:rsidR="009C6B55" w:rsidRPr="00CC0320">
        <w:rPr>
          <w:rFonts w:cs="Arial"/>
          <w:bCs/>
          <w:szCs w:val="24"/>
        </w:rPr>
        <w:t xml:space="preserve">A further report on s123 Best Consideration will be made </w:t>
      </w:r>
      <w:r w:rsidR="000B38CA" w:rsidRPr="00CC0320">
        <w:rPr>
          <w:rFonts w:cs="Arial"/>
          <w:bCs/>
          <w:szCs w:val="24"/>
        </w:rPr>
        <w:t>at drawdown when the</w:t>
      </w:r>
      <w:r w:rsidR="00CF4A37" w:rsidRPr="00CC0320">
        <w:rPr>
          <w:rFonts w:cs="Arial"/>
          <w:bCs/>
          <w:szCs w:val="24"/>
        </w:rPr>
        <w:t xml:space="preserve"> conditions precedent are satisfied,</w:t>
      </w:r>
      <w:r w:rsidR="000B38CA" w:rsidRPr="00CC0320">
        <w:rPr>
          <w:rFonts w:cs="Arial"/>
          <w:bCs/>
          <w:szCs w:val="24"/>
        </w:rPr>
        <w:t xml:space="preserve"> land</w:t>
      </w:r>
      <w:r w:rsidR="00CC2E70" w:rsidRPr="00CC0320">
        <w:rPr>
          <w:rFonts w:cs="Arial"/>
          <w:bCs/>
          <w:szCs w:val="24"/>
        </w:rPr>
        <w:t xml:space="preserve"> </w:t>
      </w:r>
      <w:r w:rsidR="000B38CA" w:rsidRPr="00CC0320">
        <w:rPr>
          <w:rFonts w:cs="Arial"/>
          <w:bCs/>
          <w:szCs w:val="24"/>
        </w:rPr>
        <w:t xml:space="preserve">value is </w:t>
      </w:r>
      <w:r w:rsidR="00852D54" w:rsidRPr="00CC0320">
        <w:rPr>
          <w:rFonts w:cs="Arial"/>
          <w:bCs/>
          <w:szCs w:val="24"/>
        </w:rPr>
        <w:t>crystallised,</w:t>
      </w:r>
      <w:r w:rsidR="000B38CA" w:rsidRPr="00CC0320">
        <w:rPr>
          <w:rFonts w:cs="Arial"/>
          <w:bCs/>
          <w:szCs w:val="24"/>
        </w:rPr>
        <w:t xml:space="preserve"> and development is ready to commence.</w:t>
      </w:r>
    </w:p>
    <w:p w14:paraId="4AC1AA8F" w14:textId="33838697" w:rsidR="009D0E0B" w:rsidRPr="006640DB" w:rsidRDefault="009D0E0B" w:rsidP="006640DB">
      <w:pPr>
        <w:pStyle w:val="ListParagraph"/>
        <w:numPr>
          <w:ilvl w:val="0"/>
          <w:numId w:val="16"/>
        </w:numPr>
        <w:spacing w:before="240"/>
        <w:rPr>
          <w:rFonts w:cs="Arial"/>
          <w:b/>
          <w:szCs w:val="24"/>
        </w:rPr>
      </w:pPr>
      <w:r w:rsidRPr="006640DB">
        <w:rPr>
          <w:rFonts w:cs="Arial"/>
          <w:b/>
          <w:szCs w:val="24"/>
        </w:rPr>
        <w:lastRenderedPageBreak/>
        <w:t>Subsidy Control</w:t>
      </w:r>
    </w:p>
    <w:p w14:paraId="7E3F827A" w14:textId="77777777" w:rsidR="00C60EEB" w:rsidRPr="00CC0320" w:rsidRDefault="00C60EEB" w:rsidP="00C60EEB">
      <w:pPr>
        <w:ind w:left="720"/>
        <w:rPr>
          <w:rFonts w:cs="Arial"/>
          <w:szCs w:val="24"/>
        </w:rPr>
      </w:pPr>
    </w:p>
    <w:p w14:paraId="11E69414" w14:textId="01DC1218" w:rsidR="00C60EEB" w:rsidRPr="00CC0320" w:rsidRDefault="00C60EEB" w:rsidP="00B4433B">
      <w:pPr>
        <w:rPr>
          <w:rFonts w:cs="Arial"/>
          <w:szCs w:val="24"/>
        </w:rPr>
      </w:pPr>
      <w:r w:rsidRPr="00CC0320">
        <w:rPr>
          <w:rFonts w:cs="Arial"/>
          <w:szCs w:val="24"/>
        </w:rPr>
        <w:t>Since the previous advice taken by the Council, the Subsidy Control Act 2022 has received the Royal Assent on 28 April this year.  The Government has recently announced that the Act will enter fully into force on 4 January 2023.  Until then, UK subsidy control law will continue to exist in the interim form described in the Legal Annex to the Cabinet Report dated</w:t>
      </w:r>
      <w:r w:rsidR="00AD5BD9" w:rsidRPr="00CC0320">
        <w:rPr>
          <w:rFonts w:cs="Arial"/>
          <w:szCs w:val="24"/>
        </w:rPr>
        <w:t xml:space="preserve"> 15</w:t>
      </w:r>
      <w:r w:rsidR="00AD5BD9" w:rsidRPr="00CC0320">
        <w:rPr>
          <w:rFonts w:cs="Arial"/>
          <w:szCs w:val="24"/>
          <w:vertAlign w:val="superscript"/>
        </w:rPr>
        <w:t>th</w:t>
      </w:r>
      <w:r w:rsidR="00AD5BD9" w:rsidRPr="00CC0320">
        <w:rPr>
          <w:rFonts w:cs="Arial"/>
          <w:szCs w:val="24"/>
        </w:rPr>
        <w:t xml:space="preserve"> July 2021</w:t>
      </w:r>
      <w:r w:rsidRPr="00CC0320">
        <w:rPr>
          <w:rFonts w:cs="Arial"/>
          <w:szCs w:val="24"/>
        </w:rPr>
        <w:t>.</w:t>
      </w:r>
    </w:p>
    <w:p w14:paraId="55CB7F0F" w14:textId="77777777" w:rsidR="00C60EEB" w:rsidRPr="00CC0320" w:rsidRDefault="00C60EEB" w:rsidP="00B4433B">
      <w:pPr>
        <w:rPr>
          <w:rFonts w:cs="Arial"/>
          <w:szCs w:val="24"/>
        </w:rPr>
      </w:pPr>
      <w:r w:rsidRPr="00CC0320">
        <w:rPr>
          <w:rFonts w:cs="Arial"/>
          <w:szCs w:val="24"/>
        </w:rPr>
        <w:t> </w:t>
      </w:r>
    </w:p>
    <w:p w14:paraId="7AD63A56" w14:textId="7EB4EB45" w:rsidR="00C60EEB" w:rsidRPr="00CC0320" w:rsidRDefault="00C60EEB" w:rsidP="00B4433B">
      <w:pPr>
        <w:rPr>
          <w:rFonts w:cs="Arial"/>
          <w:szCs w:val="24"/>
        </w:rPr>
      </w:pPr>
      <w:r w:rsidRPr="00CC0320">
        <w:rPr>
          <w:rFonts w:cs="Arial"/>
          <w:szCs w:val="24"/>
        </w:rPr>
        <w:t>Accordingly, advice received from external solicitors remains that, provided that the financial arrangements between the Council and HDSP are on commercial terms (</w:t>
      </w:r>
      <w:r w:rsidR="000F6F35" w:rsidRPr="00CC0320">
        <w:rPr>
          <w:rFonts w:cs="Arial"/>
          <w:szCs w:val="24"/>
        </w:rPr>
        <w:t>i.e.,</w:t>
      </w:r>
      <w:r w:rsidRPr="00CC0320">
        <w:rPr>
          <w:rFonts w:cs="Arial"/>
          <w:szCs w:val="24"/>
        </w:rPr>
        <w:t xml:space="preserve"> satisfy what is now to be known as the “Commercial Market Operator Principle”) then there should be no subsidy to either HDSP or Wates.  This will require that the Council’s land is transferred to HDSP at a market value (as supported by a suitable valuation) and that the financial rewards to the Council are commensurate to its contribution to HDSP.</w:t>
      </w:r>
    </w:p>
    <w:p w14:paraId="7AA5D530" w14:textId="39502E92" w:rsidR="00307F76" w:rsidRPr="006640DB" w:rsidRDefault="00307F76" w:rsidP="006640DB">
      <w:pPr>
        <w:pStyle w:val="ListParagraph"/>
        <w:numPr>
          <w:ilvl w:val="0"/>
          <w:numId w:val="16"/>
        </w:numPr>
        <w:spacing w:before="240"/>
        <w:rPr>
          <w:rFonts w:cs="Arial"/>
          <w:b/>
          <w:szCs w:val="24"/>
        </w:rPr>
      </w:pPr>
      <w:r w:rsidRPr="006640DB">
        <w:rPr>
          <w:rFonts w:cs="Arial"/>
          <w:b/>
          <w:szCs w:val="24"/>
        </w:rPr>
        <w:t xml:space="preserve">Ward Councillors’ comments </w:t>
      </w:r>
    </w:p>
    <w:p w14:paraId="1F0B197E" w14:textId="4B4C6F4B" w:rsidR="00CB1584" w:rsidRPr="00CC0320" w:rsidRDefault="00012213" w:rsidP="001472A8">
      <w:pPr>
        <w:spacing w:before="240"/>
        <w:rPr>
          <w:rFonts w:cs="Arial"/>
          <w:bCs/>
          <w:szCs w:val="24"/>
        </w:rPr>
      </w:pPr>
      <w:r w:rsidRPr="00CC0320">
        <w:rPr>
          <w:rFonts w:cs="Arial"/>
          <w:bCs/>
          <w:szCs w:val="24"/>
        </w:rPr>
        <w:t xml:space="preserve">At this stage </w:t>
      </w:r>
      <w:r w:rsidR="00CB1584" w:rsidRPr="00CC0320">
        <w:rPr>
          <w:rFonts w:cs="Arial"/>
          <w:bCs/>
          <w:szCs w:val="24"/>
        </w:rPr>
        <w:t xml:space="preserve">the </w:t>
      </w:r>
      <w:r w:rsidR="00753AE6" w:rsidRPr="00CC0320">
        <w:rPr>
          <w:rFonts w:cs="Arial"/>
          <w:bCs/>
          <w:szCs w:val="24"/>
        </w:rPr>
        <w:t xml:space="preserve">report on the </w:t>
      </w:r>
      <w:r w:rsidR="00CB1584" w:rsidRPr="00CC0320">
        <w:rPr>
          <w:rFonts w:cs="Arial"/>
          <w:bCs/>
          <w:szCs w:val="24"/>
        </w:rPr>
        <w:t>HSDP schemes</w:t>
      </w:r>
      <w:r w:rsidR="007B507D" w:rsidRPr="00CC0320">
        <w:rPr>
          <w:rFonts w:cs="Arial"/>
          <w:bCs/>
          <w:szCs w:val="24"/>
        </w:rPr>
        <w:t xml:space="preserve"> </w:t>
      </w:r>
      <w:r w:rsidR="00753AE6" w:rsidRPr="00CC0320">
        <w:rPr>
          <w:rFonts w:cs="Arial"/>
          <w:bCs/>
          <w:szCs w:val="24"/>
        </w:rPr>
        <w:t xml:space="preserve">relates to the direction of the travel of the </w:t>
      </w:r>
      <w:r w:rsidR="000F6F35" w:rsidRPr="00CC0320">
        <w:rPr>
          <w:rFonts w:cs="Arial"/>
          <w:bCs/>
          <w:szCs w:val="24"/>
        </w:rPr>
        <w:t>HSDP, and</w:t>
      </w:r>
      <w:r w:rsidR="0051148C" w:rsidRPr="00CC0320">
        <w:rPr>
          <w:rFonts w:cs="Arial"/>
          <w:bCs/>
          <w:szCs w:val="24"/>
        </w:rPr>
        <w:t xml:space="preserve"> thus to the whole</w:t>
      </w:r>
      <w:r w:rsidR="00CB1584" w:rsidRPr="00CC0320">
        <w:rPr>
          <w:rFonts w:cs="Arial"/>
          <w:bCs/>
          <w:szCs w:val="24"/>
        </w:rPr>
        <w:t xml:space="preserve"> Borough</w:t>
      </w:r>
      <w:r w:rsidR="0051148C" w:rsidRPr="00CC0320">
        <w:rPr>
          <w:rFonts w:cs="Arial"/>
          <w:bCs/>
          <w:szCs w:val="24"/>
        </w:rPr>
        <w:t>. No</w:t>
      </w:r>
      <w:r w:rsidR="007B507D" w:rsidRPr="00CC0320">
        <w:rPr>
          <w:rFonts w:cs="Arial"/>
          <w:bCs/>
          <w:szCs w:val="24"/>
        </w:rPr>
        <w:t xml:space="preserve"> </w:t>
      </w:r>
      <w:r w:rsidR="00CB1584" w:rsidRPr="00CC0320">
        <w:rPr>
          <w:rFonts w:cs="Arial"/>
          <w:bCs/>
          <w:szCs w:val="24"/>
        </w:rPr>
        <w:t>specific ward Councillor consultation has been carried out</w:t>
      </w:r>
      <w:r w:rsidR="00820975" w:rsidRPr="00CC0320">
        <w:rPr>
          <w:rFonts w:cs="Arial"/>
          <w:bCs/>
          <w:szCs w:val="24"/>
        </w:rPr>
        <w:t>.</w:t>
      </w:r>
      <w:r w:rsidR="0051148C" w:rsidRPr="00CC0320">
        <w:rPr>
          <w:rFonts w:cs="Arial"/>
          <w:bCs/>
          <w:szCs w:val="24"/>
        </w:rPr>
        <w:t xml:space="preserve"> At the detailed phase Business Plan stage</w:t>
      </w:r>
      <w:r w:rsidR="001A25CF" w:rsidRPr="00CC0320">
        <w:rPr>
          <w:rFonts w:cs="Arial"/>
          <w:bCs/>
          <w:szCs w:val="24"/>
        </w:rPr>
        <w:t xml:space="preserve"> this will be required</w:t>
      </w:r>
      <w:r w:rsidR="008940B4" w:rsidRPr="00CC0320">
        <w:rPr>
          <w:rFonts w:cs="Arial"/>
          <w:bCs/>
          <w:szCs w:val="24"/>
        </w:rPr>
        <w:t>.</w:t>
      </w:r>
    </w:p>
    <w:p w14:paraId="00073BFB" w14:textId="74BF9D44" w:rsidR="00820975" w:rsidRPr="00CC0320" w:rsidRDefault="00820975" w:rsidP="001472A8">
      <w:pPr>
        <w:spacing w:before="240"/>
        <w:rPr>
          <w:rFonts w:cs="Arial"/>
          <w:bCs/>
          <w:szCs w:val="24"/>
        </w:rPr>
      </w:pPr>
      <w:r w:rsidRPr="00CC0320">
        <w:rPr>
          <w:rFonts w:cs="Arial"/>
          <w:bCs/>
          <w:szCs w:val="24"/>
        </w:rPr>
        <w:t>For Grange Farm</w:t>
      </w:r>
      <w:r w:rsidR="00CE6E87" w:rsidRPr="00CC0320">
        <w:rPr>
          <w:rFonts w:cs="Arial"/>
          <w:bCs/>
          <w:szCs w:val="24"/>
        </w:rPr>
        <w:t xml:space="preserve"> </w:t>
      </w:r>
      <w:r w:rsidRPr="00CC0320">
        <w:rPr>
          <w:rFonts w:cs="Arial"/>
          <w:bCs/>
          <w:szCs w:val="24"/>
        </w:rPr>
        <w:t>the relevant ward members have been consulted and no comments received to date</w:t>
      </w:r>
      <w:r w:rsidR="00F539BD" w:rsidRPr="00CC0320">
        <w:rPr>
          <w:rFonts w:cs="Arial"/>
          <w:bCs/>
          <w:szCs w:val="24"/>
        </w:rPr>
        <w:t>.</w:t>
      </w:r>
    </w:p>
    <w:p w14:paraId="0CDAFD1F" w14:textId="77777777" w:rsidR="00714BEE" w:rsidRPr="00165BE9" w:rsidRDefault="00714BEE" w:rsidP="001C7E35">
      <w:pPr>
        <w:tabs>
          <w:tab w:val="left" w:pos="7245"/>
        </w:tabs>
        <w:rPr>
          <w:rFonts w:ascii="Arial Black" w:hAnsi="Arial Black" w:cs="Arial"/>
          <w:i/>
          <w:color w:val="0000FF"/>
          <w:szCs w:val="24"/>
        </w:rPr>
      </w:pPr>
    </w:p>
    <w:p w14:paraId="482D5093" w14:textId="0EC03D14" w:rsidR="00333FAA" w:rsidRPr="00165BE9" w:rsidRDefault="00333FAA" w:rsidP="00DD1436">
      <w:pPr>
        <w:pStyle w:val="Heading4"/>
        <w:numPr>
          <w:ilvl w:val="1"/>
          <w:numId w:val="23"/>
        </w:numPr>
        <w:rPr>
          <w:rFonts w:ascii="Arial Black" w:hAnsi="Arial Black"/>
          <w:szCs w:val="24"/>
        </w:rPr>
      </w:pPr>
      <w:r w:rsidRPr="00165BE9">
        <w:rPr>
          <w:rFonts w:ascii="Arial Black" w:hAnsi="Arial Black"/>
          <w:szCs w:val="24"/>
        </w:rPr>
        <w:t>Environmental Implications</w:t>
      </w:r>
    </w:p>
    <w:p w14:paraId="0571189B" w14:textId="5EC999B8" w:rsidR="00F93222" w:rsidRPr="00CC0320" w:rsidRDefault="00F93222" w:rsidP="00F93222">
      <w:pPr>
        <w:rPr>
          <w:rFonts w:cs="Arial"/>
          <w:szCs w:val="24"/>
        </w:rPr>
      </w:pPr>
    </w:p>
    <w:p w14:paraId="771B1683" w14:textId="79C647DC" w:rsidR="00F93222" w:rsidRPr="00CC0320" w:rsidRDefault="00B06470" w:rsidP="00F93222">
      <w:pPr>
        <w:rPr>
          <w:rFonts w:cs="Arial"/>
          <w:szCs w:val="24"/>
        </w:rPr>
      </w:pPr>
      <w:r w:rsidRPr="00CC0320">
        <w:rPr>
          <w:rFonts w:cs="Arial"/>
          <w:szCs w:val="24"/>
        </w:rPr>
        <w:t xml:space="preserve">All new homes must meet high standards of energy efficiency </w:t>
      </w:r>
      <w:r w:rsidR="009D6A0F" w:rsidRPr="00CC0320">
        <w:rPr>
          <w:rFonts w:cs="Arial"/>
          <w:szCs w:val="24"/>
        </w:rPr>
        <w:t>to reduce CO2 emissions as well as reduce fuel poverty.</w:t>
      </w:r>
      <w:r w:rsidR="00512819" w:rsidRPr="00CC0320">
        <w:rPr>
          <w:rFonts w:cs="Arial"/>
          <w:szCs w:val="24"/>
        </w:rPr>
        <w:t xml:space="preserve"> Phase</w:t>
      </w:r>
      <w:r w:rsidR="00C61EBA" w:rsidRPr="00CC0320">
        <w:rPr>
          <w:rFonts w:cs="Arial"/>
          <w:szCs w:val="24"/>
        </w:rPr>
        <w:t>s</w:t>
      </w:r>
      <w:r w:rsidR="00512819" w:rsidRPr="00CC0320">
        <w:rPr>
          <w:rFonts w:cs="Arial"/>
          <w:szCs w:val="24"/>
        </w:rPr>
        <w:t xml:space="preserve"> 2 and 3 of Grange </w:t>
      </w:r>
      <w:r w:rsidR="001A4AA1" w:rsidRPr="00CC0320">
        <w:rPr>
          <w:rFonts w:cs="Arial"/>
          <w:szCs w:val="24"/>
        </w:rPr>
        <w:t>F</w:t>
      </w:r>
      <w:r w:rsidR="00512819" w:rsidRPr="00CC0320">
        <w:rPr>
          <w:rFonts w:cs="Arial"/>
          <w:szCs w:val="24"/>
        </w:rPr>
        <w:t xml:space="preserve">arm will need to meet the Future Homes Standard and aspire to be net zero </w:t>
      </w:r>
      <w:r w:rsidR="001A4AA1" w:rsidRPr="00CC0320">
        <w:rPr>
          <w:rFonts w:cs="Arial"/>
          <w:szCs w:val="24"/>
        </w:rPr>
        <w:t>carbon in operation</w:t>
      </w:r>
      <w:r w:rsidR="00A173FA" w:rsidRPr="00CC0320">
        <w:rPr>
          <w:rFonts w:cs="Arial"/>
          <w:szCs w:val="24"/>
        </w:rPr>
        <w:t>.</w:t>
      </w:r>
    </w:p>
    <w:p w14:paraId="6D6FFEA3" w14:textId="4298BC2F" w:rsidR="00A173FA" w:rsidRPr="00CC0320" w:rsidRDefault="00A173FA" w:rsidP="00F93222">
      <w:pPr>
        <w:rPr>
          <w:rFonts w:cs="Arial"/>
          <w:szCs w:val="24"/>
        </w:rPr>
      </w:pPr>
    </w:p>
    <w:p w14:paraId="7878230C" w14:textId="4E5676F9" w:rsidR="00A173FA" w:rsidRPr="00CC0320" w:rsidRDefault="00D15AD6" w:rsidP="00F93222">
      <w:pPr>
        <w:rPr>
          <w:rFonts w:cs="Arial"/>
          <w:szCs w:val="24"/>
        </w:rPr>
      </w:pPr>
      <w:r w:rsidRPr="00CC0320">
        <w:rPr>
          <w:rFonts w:cs="Arial"/>
          <w:szCs w:val="24"/>
        </w:rPr>
        <w:t>In recent times planning and Building Regulation requirements have moved to require ground or air sourced heat pumps</w:t>
      </w:r>
      <w:r w:rsidR="00F652D2" w:rsidRPr="00CC0320">
        <w:rPr>
          <w:rFonts w:cs="Arial"/>
          <w:szCs w:val="24"/>
        </w:rPr>
        <w:t xml:space="preserve">, provision of green roofs, solar thermal hot water systems and </w:t>
      </w:r>
      <w:r w:rsidR="00C67061" w:rsidRPr="00CC0320">
        <w:rPr>
          <w:rFonts w:cs="Arial"/>
          <w:szCs w:val="24"/>
        </w:rPr>
        <w:t xml:space="preserve">photovoltaics, </w:t>
      </w:r>
      <w:r w:rsidR="00A32827" w:rsidRPr="00CC0320">
        <w:rPr>
          <w:rFonts w:cs="Arial"/>
          <w:szCs w:val="24"/>
        </w:rPr>
        <w:t>improved biodiversity resulting in increased tree planting and landscap</w:t>
      </w:r>
      <w:r w:rsidR="000F6F35" w:rsidRPr="00CC0320">
        <w:rPr>
          <w:rFonts w:cs="Arial"/>
          <w:szCs w:val="24"/>
        </w:rPr>
        <w:t>ed</w:t>
      </w:r>
      <w:r w:rsidR="00A32827" w:rsidRPr="00CC0320">
        <w:rPr>
          <w:rFonts w:cs="Arial"/>
          <w:szCs w:val="24"/>
        </w:rPr>
        <w:t xml:space="preserve"> communal open spaces, provision of Sustainable Urban Drainage systems and green travel plans to encourage active travel with use of public transport and walking</w:t>
      </w:r>
      <w:r w:rsidR="00B23DFF" w:rsidRPr="00CC0320">
        <w:rPr>
          <w:rFonts w:cs="Arial"/>
          <w:szCs w:val="24"/>
        </w:rPr>
        <w:t>.</w:t>
      </w:r>
    </w:p>
    <w:p w14:paraId="42BBD3DA" w14:textId="3ABB207F" w:rsidR="00765AF5" w:rsidRPr="00CC0320" w:rsidRDefault="00765AF5" w:rsidP="00F93222">
      <w:pPr>
        <w:rPr>
          <w:rFonts w:cs="Arial"/>
          <w:szCs w:val="24"/>
        </w:rPr>
      </w:pPr>
    </w:p>
    <w:p w14:paraId="37DA7ADC" w14:textId="46639660" w:rsidR="00765AF5" w:rsidRPr="00CC0320" w:rsidRDefault="00765AF5" w:rsidP="000360B2">
      <w:pPr>
        <w:rPr>
          <w:rFonts w:cs="Arial"/>
          <w:szCs w:val="24"/>
        </w:rPr>
      </w:pPr>
      <w:r w:rsidRPr="00CC0320">
        <w:rPr>
          <w:rFonts w:cs="Arial"/>
          <w:szCs w:val="24"/>
        </w:rPr>
        <w:t>The HSDP is developing an energy and heating strategy, together with an overall sustai</w:t>
      </w:r>
      <w:r w:rsidR="00C62ECA" w:rsidRPr="00CC0320">
        <w:rPr>
          <w:rFonts w:cs="Arial"/>
          <w:szCs w:val="24"/>
        </w:rPr>
        <w:t>nability approach</w:t>
      </w:r>
      <w:r w:rsidR="00FD0A11" w:rsidRPr="00CC0320">
        <w:rPr>
          <w:rFonts w:cs="Arial"/>
          <w:szCs w:val="24"/>
        </w:rPr>
        <w:t xml:space="preserve"> to meet those needs</w:t>
      </w:r>
      <w:r w:rsidR="00C90E5C" w:rsidRPr="00CC0320">
        <w:rPr>
          <w:rFonts w:cs="Arial"/>
          <w:szCs w:val="24"/>
        </w:rPr>
        <w:t>. The estimated costs for the business plan at this stage reflect this.</w:t>
      </w:r>
    </w:p>
    <w:p w14:paraId="75284416" w14:textId="4735A0CB" w:rsidR="00A81E19" w:rsidRPr="00A57A5E" w:rsidRDefault="00A81E19" w:rsidP="00DD1436">
      <w:pPr>
        <w:pStyle w:val="Heading3"/>
        <w:numPr>
          <w:ilvl w:val="1"/>
          <w:numId w:val="23"/>
        </w:numPr>
        <w:spacing w:before="480" w:after="240"/>
        <w:rPr>
          <w:rFonts w:ascii="Arial Black" w:hAnsi="Arial Black"/>
          <w:sz w:val="24"/>
          <w:szCs w:val="24"/>
        </w:rPr>
      </w:pPr>
      <w:r w:rsidRPr="00A57A5E">
        <w:rPr>
          <w:rFonts w:ascii="Arial Black" w:hAnsi="Arial Black"/>
          <w:sz w:val="24"/>
          <w:szCs w:val="24"/>
        </w:rPr>
        <w:t>Risk Management Implications</w:t>
      </w:r>
    </w:p>
    <w:p w14:paraId="50F8B339" w14:textId="7A0BF8F8" w:rsidR="00A81E19" w:rsidRPr="00CC0320" w:rsidRDefault="00A81E19" w:rsidP="00A81E19">
      <w:pPr>
        <w:tabs>
          <w:tab w:val="left" w:pos="5610"/>
        </w:tabs>
        <w:ind w:right="81"/>
        <w:rPr>
          <w:rFonts w:cs="Arial"/>
          <w:szCs w:val="24"/>
          <w:lang w:val="en-US"/>
        </w:rPr>
      </w:pPr>
      <w:r w:rsidRPr="00CC0320">
        <w:rPr>
          <w:rFonts w:cs="Arial"/>
          <w:szCs w:val="24"/>
          <w:lang w:val="en-US"/>
        </w:rPr>
        <w:t>Risk included on Directorate risk register?  Yes</w:t>
      </w:r>
    </w:p>
    <w:p w14:paraId="70006FD0" w14:textId="3888515A" w:rsidR="00A81E19" w:rsidRDefault="00A81E19" w:rsidP="00A81E19">
      <w:pPr>
        <w:ind w:right="141"/>
        <w:rPr>
          <w:rFonts w:cs="Arial"/>
          <w:szCs w:val="24"/>
          <w:lang w:val="en-US" w:eastAsia="en-GB"/>
        </w:rPr>
      </w:pPr>
      <w:r w:rsidRPr="00CC0320">
        <w:rPr>
          <w:rFonts w:cs="Arial"/>
          <w:szCs w:val="24"/>
          <w:lang w:val="en-US" w:eastAsia="en-GB"/>
        </w:rPr>
        <w:t>Separate risk register in place?  Yes</w:t>
      </w:r>
      <w:r w:rsidR="00431B99" w:rsidRPr="00CC0320">
        <w:rPr>
          <w:rFonts w:cs="Arial"/>
          <w:szCs w:val="24"/>
          <w:lang w:val="en-US" w:eastAsia="en-GB"/>
        </w:rPr>
        <w:t xml:space="preserve"> (for the whole project)</w:t>
      </w:r>
    </w:p>
    <w:p w14:paraId="60A5BD2A" w14:textId="5156DB6F" w:rsidR="008E7CD7" w:rsidRDefault="008E7CD7" w:rsidP="00A81E19">
      <w:pPr>
        <w:ind w:right="141"/>
        <w:rPr>
          <w:rFonts w:cs="Arial"/>
          <w:szCs w:val="24"/>
          <w:lang w:val="en-US" w:eastAsia="en-GB"/>
        </w:rPr>
      </w:pPr>
    </w:p>
    <w:p w14:paraId="382C142E" w14:textId="5ABB6DEB" w:rsidR="008E7CD7" w:rsidRPr="00254BCB" w:rsidRDefault="008E7CD7" w:rsidP="008E7CD7">
      <w:pPr>
        <w:ind w:right="141"/>
        <w:rPr>
          <w:rFonts w:cs="Arial"/>
          <w:szCs w:val="24"/>
          <w:lang w:val="en-US" w:eastAsia="en-GB"/>
        </w:rPr>
      </w:pPr>
      <w:r w:rsidRPr="00254BCB">
        <w:rPr>
          <w:rFonts w:cs="Arial"/>
          <w:szCs w:val="24"/>
          <w:lang w:val="en-US" w:eastAsia="en-GB"/>
        </w:rPr>
        <w:t>The relevant risks contained in the register are attached/summarised below. Yes</w:t>
      </w:r>
    </w:p>
    <w:p w14:paraId="0E0F08C6" w14:textId="7E8EA25D" w:rsidR="008E7CD7" w:rsidRDefault="008E7CD7" w:rsidP="008E7CD7">
      <w:pPr>
        <w:ind w:right="141"/>
        <w:rPr>
          <w:rFonts w:cs="Arial"/>
          <w:szCs w:val="24"/>
          <w:lang w:val="en-US" w:eastAsia="en-GB"/>
        </w:rPr>
      </w:pPr>
      <w:r w:rsidRPr="00254BCB">
        <w:rPr>
          <w:rFonts w:cs="Arial"/>
          <w:szCs w:val="24"/>
          <w:lang w:val="en-US" w:eastAsia="en-GB"/>
        </w:rPr>
        <w:lastRenderedPageBreak/>
        <w:t>The following key risks should be taken into account when agreeing the recommendations in this report:</w:t>
      </w:r>
    </w:p>
    <w:p w14:paraId="40F7D454" w14:textId="7E996ECE" w:rsidR="006174DE" w:rsidRDefault="006174DE" w:rsidP="008E7CD7">
      <w:pPr>
        <w:ind w:right="141"/>
        <w:rPr>
          <w:rFonts w:cs="Arial"/>
          <w:szCs w:val="24"/>
          <w:lang w:val="en-US" w:eastAsia="en-GB"/>
        </w:rPr>
      </w:pPr>
    </w:p>
    <w:tbl>
      <w:tblPr>
        <w:tblStyle w:val="TableGrid"/>
        <w:tblW w:w="8299" w:type="dxa"/>
        <w:tblLook w:val="04A0" w:firstRow="1" w:lastRow="0" w:firstColumn="1" w:lastColumn="0" w:noHBand="0" w:noVBand="1"/>
      </w:tblPr>
      <w:tblGrid>
        <w:gridCol w:w="3231"/>
        <w:gridCol w:w="2943"/>
        <w:gridCol w:w="2125"/>
      </w:tblGrid>
      <w:tr w:rsidR="00827848" w:rsidRPr="00431B99" w14:paraId="0FCEA8B0" w14:textId="70575C01" w:rsidTr="00827848">
        <w:tc>
          <w:tcPr>
            <w:tcW w:w="3231" w:type="dxa"/>
          </w:tcPr>
          <w:p w14:paraId="3DC27B6A" w14:textId="77777777" w:rsidR="00827848" w:rsidRPr="00431B99" w:rsidRDefault="00827848" w:rsidP="00827848">
            <w:pPr>
              <w:ind w:right="141"/>
              <w:rPr>
                <w:rFonts w:cs="Arial"/>
                <w:b/>
                <w:bCs/>
                <w:szCs w:val="24"/>
                <w:lang w:val="en-US" w:eastAsia="en-GB"/>
              </w:rPr>
            </w:pPr>
            <w:r w:rsidRPr="00431B99">
              <w:rPr>
                <w:rFonts w:cs="Arial"/>
                <w:b/>
                <w:bCs/>
                <w:szCs w:val="24"/>
                <w:lang w:val="en-US" w:eastAsia="en-GB"/>
              </w:rPr>
              <w:t>Risk Description</w:t>
            </w:r>
          </w:p>
        </w:tc>
        <w:tc>
          <w:tcPr>
            <w:tcW w:w="2943" w:type="dxa"/>
          </w:tcPr>
          <w:p w14:paraId="69056A5F" w14:textId="77777777" w:rsidR="00827848" w:rsidRPr="00431B99" w:rsidRDefault="00827848" w:rsidP="00827848">
            <w:pPr>
              <w:ind w:right="141"/>
              <w:rPr>
                <w:rFonts w:cs="Arial"/>
                <w:b/>
                <w:bCs/>
                <w:szCs w:val="24"/>
                <w:lang w:val="en-US" w:eastAsia="en-GB"/>
              </w:rPr>
            </w:pPr>
            <w:r w:rsidRPr="00431B99">
              <w:rPr>
                <w:rFonts w:cs="Arial"/>
                <w:b/>
                <w:bCs/>
                <w:szCs w:val="24"/>
                <w:lang w:val="en-US" w:eastAsia="en-GB"/>
              </w:rPr>
              <w:t>Mitigations</w:t>
            </w:r>
          </w:p>
        </w:tc>
        <w:tc>
          <w:tcPr>
            <w:tcW w:w="2125" w:type="dxa"/>
          </w:tcPr>
          <w:p w14:paraId="2D6DA1A0" w14:textId="0BBD1A00" w:rsidR="00827848" w:rsidRPr="00431B99" w:rsidRDefault="00827848" w:rsidP="00827848">
            <w:pPr>
              <w:ind w:right="141"/>
              <w:rPr>
                <w:rFonts w:cs="Arial"/>
                <w:b/>
                <w:bCs/>
                <w:szCs w:val="24"/>
                <w:lang w:val="en-US" w:eastAsia="en-GB"/>
              </w:rPr>
            </w:pPr>
            <w:r w:rsidRPr="00431B99">
              <w:rPr>
                <w:rFonts w:cs="Arial"/>
                <w:b/>
                <w:bCs/>
                <w:szCs w:val="24"/>
                <w:lang w:val="en-US" w:eastAsia="en-GB"/>
              </w:rPr>
              <w:t>RAG Status</w:t>
            </w:r>
          </w:p>
        </w:tc>
      </w:tr>
      <w:tr w:rsidR="00827848" w:rsidRPr="005D7CB0" w14:paraId="4136AAB5" w14:textId="38BD65AF" w:rsidTr="00827848">
        <w:tc>
          <w:tcPr>
            <w:tcW w:w="3231" w:type="dxa"/>
          </w:tcPr>
          <w:p w14:paraId="062A2A2E" w14:textId="77777777" w:rsidR="00827848" w:rsidRDefault="00827848" w:rsidP="00827848">
            <w:pPr>
              <w:ind w:right="141"/>
              <w:rPr>
                <w:rFonts w:cs="Arial"/>
                <w:szCs w:val="24"/>
                <w:lang w:val="en-US" w:eastAsia="en-GB"/>
              </w:rPr>
            </w:pPr>
            <w:r>
              <w:rPr>
                <w:rFonts w:cs="Arial"/>
                <w:szCs w:val="24"/>
                <w:lang w:val="en-US" w:eastAsia="en-GB"/>
              </w:rPr>
              <w:t xml:space="preserve">Business </w:t>
            </w:r>
            <w:r w:rsidRPr="001E650F">
              <w:rPr>
                <w:rFonts w:cs="Arial"/>
                <w:szCs w:val="24"/>
                <w:lang w:val="en-US" w:eastAsia="en-GB"/>
              </w:rPr>
              <w:t>Plan for Grange Farm (Phase 2)</w:t>
            </w:r>
            <w:r>
              <w:rPr>
                <w:rFonts w:cs="Arial"/>
                <w:color w:val="FF0000"/>
                <w:szCs w:val="24"/>
                <w:lang w:val="en-US" w:eastAsia="en-GB"/>
              </w:rPr>
              <w:t xml:space="preserve"> </w:t>
            </w:r>
            <w:r>
              <w:rPr>
                <w:rFonts w:cs="Arial"/>
                <w:szCs w:val="24"/>
                <w:lang w:val="en-US" w:eastAsia="en-GB"/>
              </w:rPr>
              <w:t>does not meet the Council’s requirements/ is unachievable/ unaffordable</w:t>
            </w:r>
          </w:p>
        </w:tc>
        <w:tc>
          <w:tcPr>
            <w:tcW w:w="2943" w:type="dxa"/>
          </w:tcPr>
          <w:p w14:paraId="1AA0C9B4" w14:textId="77777777" w:rsidR="00827848" w:rsidRDefault="00827848" w:rsidP="00827848">
            <w:pPr>
              <w:pStyle w:val="ListParagraph"/>
              <w:numPr>
                <w:ilvl w:val="0"/>
                <w:numId w:val="7"/>
              </w:numPr>
              <w:ind w:left="360" w:right="141"/>
              <w:rPr>
                <w:rFonts w:cs="Arial"/>
                <w:szCs w:val="24"/>
                <w:lang w:val="en-US" w:eastAsia="en-GB"/>
              </w:rPr>
            </w:pPr>
            <w:r>
              <w:rPr>
                <w:rFonts w:cs="Arial"/>
                <w:szCs w:val="24"/>
                <w:lang w:val="en-US" w:eastAsia="en-GB"/>
              </w:rPr>
              <w:t>Assessment by the Council’s financial and commercial advisers</w:t>
            </w:r>
          </w:p>
          <w:p w14:paraId="2566D190" w14:textId="77777777" w:rsidR="00827848" w:rsidRDefault="00827848" w:rsidP="00827848">
            <w:pPr>
              <w:pStyle w:val="ListParagraph"/>
              <w:numPr>
                <w:ilvl w:val="0"/>
                <w:numId w:val="7"/>
              </w:numPr>
              <w:ind w:left="360" w:right="141"/>
              <w:rPr>
                <w:rFonts w:cs="Arial"/>
                <w:szCs w:val="24"/>
                <w:lang w:val="en-US" w:eastAsia="en-GB"/>
              </w:rPr>
            </w:pPr>
            <w:r>
              <w:rPr>
                <w:rFonts w:cs="Arial"/>
                <w:szCs w:val="24"/>
                <w:lang w:val="en-US" w:eastAsia="en-GB"/>
              </w:rPr>
              <w:t>Business plan review and update</w:t>
            </w:r>
          </w:p>
          <w:p w14:paraId="74824C9D" w14:textId="77777777" w:rsidR="00827848" w:rsidRDefault="00827848" w:rsidP="00827848">
            <w:pPr>
              <w:pStyle w:val="ListParagraph"/>
              <w:numPr>
                <w:ilvl w:val="0"/>
                <w:numId w:val="7"/>
              </w:numPr>
              <w:ind w:left="360" w:right="141"/>
              <w:rPr>
                <w:rFonts w:cs="Arial"/>
                <w:szCs w:val="24"/>
                <w:lang w:val="en-US" w:eastAsia="en-GB"/>
              </w:rPr>
            </w:pPr>
            <w:r>
              <w:rPr>
                <w:rFonts w:cs="Arial"/>
                <w:szCs w:val="24"/>
                <w:lang w:val="en-US" w:eastAsia="en-GB"/>
              </w:rPr>
              <w:t>Continued viability review and gateway/ hold points</w:t>
            </w:r>
          </w:p>
          <w:p w14:paraId="45C211EE" w14:textId="77777777" w:rsidR="00827848" w:rsidRPr="005D7CB0" w:rsidRDefault="00827848" w:rsidP="00827848">
            <w:pPr>
              <w:pStyle w:val="ListParagraph"/>
              <w:numPr>
                <w:ilvl w:val="0"/>
                <w:numId w:val="7"/>
              </w:numPr>
              <w:ind w:left="360" w:right="141"/>
              <w:rPr>
                <w:rFonts w:cs="Arial"/>
                <w:szCs w:val="24"/>
                <w:lang w:val="en-US" w:eastAsia="en-GB"/>
              </w:rPr>
            </w:pPr>
            <w:r>
              <w:rPr>
                <w:rFonts w:cs="Arial"/>
                <w:szCs w:val="24"/>
                <w:lang w:val="en-US" w:eastAsia="en-GB"/>
              </w:rPr>
              <w:t>Achievable mitigation</w:t>
            </w:r>
          </w:p>
        </w:tc>
        <w:tc>
          <w:tcPr>
            <w:tcW w:w="2125" w:type="dxa"/>
            <w:shd w:val="clear" w:color="auto" w:fill="FFC000"/>
          </w:tcPr>
          <w:p w14:paraId="23D5BEF4" w14:textId="709B1750" w:rsidR="00827848" w:rsidRDefault="00827848" w:rsidP="00827848">
            <w:pPr>
              <w:pStyle w:val="ListParagraph"/>
              <w:numPr>
                <w:ilvl w:val="0"/>
                <w:numId w:val="7"/>
              </w:numPr>
              <w:ind w:left="360" w:right="141"/>
              <w:rPr>
                <w:rFonts w:cs="Arial"/>
                <w:szCs w:val="24"/>
                <w:lang w:val="en-US" w:eastAsia="en-GB"/>
              </w:rPr>
            </w:pPr>
            <w:r>
              <w:rPr>
                <w:rFonts w:cs="Arial"/>
                <w:szCs w:val="24"/>
                <w:lang w:val="en-US" w:eastAsia="en-GB"/>
              </w:rPr>
              <w:t>Amber</w:t>
            </w:r>
          </w:p>
        </w:tc>
      </w:tr>
      <w:tr w:rsidR="00827848" w:rsidRPr="00745E01" w14:paraId="6A9D24C9" w14:textId="7F82D265" w:rsidTr="00827848">
        <w:tc>
          <w:tcPr>
            <w:tcW w:w="3231" w:type="dxa"/>
          </w:tcPr>
          <w:p w14:paraId="693FB406" w14:textId="77777777" w:rsidR="00827848" w:rsidRDefault="00827848" w:rsidP="00827848">
            <w:pPr>
              <w:ind w:right="141"/>
              <w:rPr>
                <w:rFonts w:cs="Arial"/>
                <w:szCs w:val="24"/>
                <w:lang w:val="en-US" w:eastAsia="en-GB"/>
              </w:rPr>
            </w:pPr>
            <w:r w:rsidRPr="002F162A">
              <w:rPr>
                <w:rFonts w:cs="Arial"/>
                <w:szCs w:val="24"/>
                <w:lang w:val="en-US" w:eastAsia="en-GB"/>
              </w:rPr>
              <w:t xml:space="preserve">Lack of </w:t>
            </w:r>
            <w:r>
              <w:rPr>
                <w:rFonts w:cs="Arial"/>
                <w:szCs w:val="24"/>
                <w:lang w:val="en-US" w:eastAsia="en-GB"/>
              </w:rPr>
              <w:t>financial viability for Phase 2</w:t>
            </w:r>
          </w:p>
          <w:p w14:paraId="4BEA34F4" w14:textId="77777777" w:rsidR="00827848" w:rsidRDefault="00827848" w:rsidP="00827848">
            <w:pPr>
              <w:pStyle w:val="ListParagraph"/>
              <w:numPr>
                <w:ilvl w:val="0"/>
                <w:numId w:val="10"/>
              </w:numPr>
              <w:ind w:right="141"/>
              <w:rPr>
                <w:rFonts w:cs="Arial"/>
                <w:szCs w:val="24"/>
                <w:lang w:val="en-US" w:eastAsia="en-GB"/>
              </w:rPr>
            </w:pPr>
            <w:r>
              <w:rPr>
                <w:rFonts w:cs="Arial"/>
                <w:szCs w:val="24"/>
                <w:lang w:val="en-US" w:eastAsia="en-GB"/>
              </w:rPr>
              <w:t>Continued inflation</w:t>
            </w:r>
          </w:p>
          <w:p w14:paraId="72FE4842" w14:textId="77777777" w:rsidR="00827848" w:rsidRDefault="00827848" w:rsidP="00827848">
            <w:pPr>
              <w:pStyle w:val="ListParagraph"/>
              <w:numPr>
                <w:ilvl w:val="0"/>
                <w:numId w:val="10"/>
              </w:numPr>
              <w:ind w:right="141"/>
              <w:rPr>
                <w:rFonts w:cs="Arial"/>
                <w:szCs w:val="24"/>
                <w:lang w:val="en-US" w:eastAsia="en-GB"/>
              </w:rPr>
            </w:pPr>
            <w:r>
              <w:rPr>
                <w:rFonts w:cs="Arial"/>
                <w:szCs w:val="24"/>
                <w:lang w:val="en-US" w:eastAsia="en-GB"/>
              </w:rPr>
              <w:t>Cost risk</w:t>
            </w:r>
          </w:p>
          <w:p w14:paraId="20270117" w14:textId="77777777" w:rsidR="00827848" w:rsidRDefault="00827848" w:rsidP="00827848">
            <w:pPr>
              <w:pStyle w:val="ListParagraph"/>
              <w:numPr>
                <w:ilvl w:val="0"/>
                <w:numId w:val="10"/>
              </w:numPr>
              <w:ind w:right="141"/>
              <w:rPr>
                <w:rFonts w:cs="Arial"/>
                <w:szCs w:val="24"/>
                <w:lang w:val="en-US" w:eastAsia="en-GB"/>
              </w:rPr>
            </w:pPr>
            <w:r>
              <w:rPr>
                <w:rFonts w:cs="Arial"/>
                <w:szCs w:val="24"/>
                <w:lang w:val="en-US" w:eastAsia="en-GB"/>
              </w:rPr>
              <w:t>Market risk to revenue</w:t>
            </w:r>
          </w:p>
          <w:p w14:paraId="1361A59A" w14:textId="77777777" w:rsidR="00827848" w:rsidRDefault="00827848" w:rsidP="00827848">
            <w:pPr>
              <w:pStyle w:val="ListParagraph"/>
              <w:numPr>
                <w:ilvl w:val="0"/>
                <w:numId w:val="10"/>
              </w:numPr>
              <w:ind w:right="141"/>
              <w:rPr>
                <w:rFonts w:cs="Arial"/>
                <w:szCs w:val="24"/>
                <w:lang w:val="en-US" w:eastAsia="en-GB"/>
              </w:rPr>
            </w:pPr>
            <w:r>
              <w:rPr>
                <w:rFonts w:cs="Arial"/>
                <w:szCs w:val="24"/>
                <w:lang w:val="en-US" w:eastAsia="en-GB"/>
              </w:rPr>
              <w:t>Land Value</w:t>
            </w:r>
          </w:p>
          <w:p w14:paraId="241ABB0C" w14:textId="77777777" w:rsidR="00827848" w:rsidRPr="00C3283D" w:rsidRDefault="00827848" w:rsidP="00827848">
            <w:pPr>
              <w:pStyle w:val="ListParagraph"/>
              <w:numPr>
                <w:ilvl w:val="0"/>
                <w:numId w:val="10"/>
              </w:numPr>
              <w:ind w:right="141"/>
              <w:rPr>
                <w:rFonts w:cs="Arial"/>
                <w:szCs w:val="24"/>
                <w:lang w:val="en-US" w:eastAsia="en-GB"/>
              </w:rPr>
            </w:pPr>
            <w:r>
              <w:rPr>
                <w:rFonts w:cs="Arial"/>
                <w:szCs w:val="24"/>
                <w:lang w:val="en-US" w:eastAsia="en-GB"/>
              </w:rPr>
              <w:t>Changing requirements of building regulations including sustainability and fire safety</w:t>
            </w:r>
          </w:p>
        </w:tc>
        <w:tc>
          <w:tcPr>
            <w:tcW w:w="2943" w:type="dxa"/>
          </w:tcPr>
          <w:p w14:paraId="30867462" w14:textId="77777777" w:rsidR="00827848" w:rsidRDefault="00827848" w:rsidP="00827848">
            <w:pPr>
              <w:pStyle w:val="ListParagraph"/>
              <w:numPr>
                <w:ilvl w:val="0"/>
                <w:numId w:val="10"/>
              </w:numPr>
              <w:ind w:left="360" w:right="141"/>
              <w:rPr>
                <w:rFonts w:cs="Arial"/>
                <w:szCs w:val="24"/>
                <w:lang w:val="en-US" w:eastAsia="en-GB"/>
              </w:rPr>
            </w:pPr>
            <w:r>
              <w:rPr>
                <w:rFonts w:cs="Arial"/>
                <w:szCs w:val="24"/>
                <w:lang w:val="en-US" w:eastAsia="en-GB"/>
              </w:rPr>
              <w:t>Continued monitoring and viability review</w:t>
            </w:r>
          </w:p>
          <w:p w14:paraId="312B8FD8" w14:textId="77777777" w:rsidR="00827848" w:rsidRDefault="00827848" w:rsidP="00827848">
            <w:pPr>
              <w:pStyle w:val="ListParagraph"/>
              <w:numPr>
                <w:ilvl w:val="0"/>
                <w:numId w:val="10"/>
              </w:numPr>
              <w:ind w:left="360" w:right="141"/>
              <w:rPr>
                <w:rFonts w:cs="Arial"/>
                <w:szCs w:val="24"/>
                <w:lang w:val="en-US" w:eastAsia="en-GB"/>
              </w:rPr>
            </w:pPr>
            <w:r>
              <w:rPr>
                <w:rFonts w:cs="Arial"/>
                <w:szCs w:val="24"/>
                <w:lang w:val="en-US" w:eastAsia="en-GB"/>
              </w:rPr>
              <w:t>Sensitivity testing and value at risk carried out</w:t>
            </w:r>
          </w:p>
          <w:p w14:paraId="6F3A2CCE" w14:textId="77777777" w:rsidR="00827848" w:rsidRDefault="00827848" w:rsidP="00827848">
            <w:pPr>
              <w:pStyle w:val="ListParagraph"/>
              <w:numPr>
                <w:ilvl w:val="0"/>
                <w:numId w:val="10"/>
              </w:numPr>
              <w:ind w:left="360" w:right="141"/>
              <w:rPr>
                <w:rFonts w:cs="Arial"/>
                <w:szCs w:val="24"/>
                <w:lang w:val="en-US" w:eastAsia="en-GB"/>
              </w:rPr>
            </w:pPr>
            <w:r>
              <w:rPr>
                <w:rFonts w:cs="Arial"/>
                <w:szCs w:val="24"/>
                <w:lang w:val="en-US" w:eastAsia="en-GB"/>
              </w:rPr>
              <w:t>Option to consider changes to design – massing and density</w:t>
            </w:r>
          </w:p>
          <w:p w14:paraId="25D5C4C9" w14:textId="77777777" w:rsidR="00827848" w:rsidRDefault="00827848" w:rsidP="00827848">
            <w:pPr>
              <w:pStyle w:val="ListParagraph"/>
              <w:numPr>
                <w:ilvl w:val="0"/>
                <w:numId w:val="10"/>
              </w:numPr>
              <w:ind w:left="360" w:right="141"/>
              <w:rPr>
                <w:rFonts w:cs="Arial"/>
                <w:szCs w:val="24"/>
                <w:lang w:val="en-US" w:eastAsia="en-GB"/>
              </w:rPr>
            </w:pPr>
            <w:r>
              <w:rPr>
                <w:rFonts w:cs="Arial"/>
                <w:szCs w:val="24"/>
                <w:lang w:val="en-US" w:eastAsia="en-GB"/>
              </w:rPr>
              <w:t>Discussions with Ministry of Defence</w:t>
            </w:r>
          </w:p>
          <w:p w14:paraId="14EB26DE" w14:textId="77777777" w:rsidR="00827848" w:rsidRDefault="00827848" w:rsidP="00827848">
            <w:pPr>
              <w:pStyle w:val="ListParagraph"/>
              <w:numPr>
                <w:ilvl w:val="0"/>
                <w:numId w:val="10"/>
              </w:numPr>
              <w:ind w:left="360" w:right="141"/>
              <w:rPr>
                <w:rFonts w:cs="Arial"/>
                <w:szCs w:val="24"/>
                <w:lang w:val="en-US" w:eastAsia="en-GB"/>
              </w:rPr>
            </w:pPr>
            <w:r>
              <w:rPr>
                <w:rFonts w:cs="Arial"/>
                <w:szCs w:val="24"/>
                <w:lang w:val="en-US" w:eastAsia="en-GB"/>
              </w:rPr>
              <w:t>Value Engineering</w:t>
            </w:r>
          </w:p>
          <w:p w14:paraId="1C3ECFF1" w14:textId="77777777" w:rsidR="00827848" w:rsidRDefault="00827848" w:rsidP="00827848">
            <w:pPr>
              <w:pStyle w:val="ListParagraph"/>
              <w:numPr>
                <w:ilvl w:val="0"/>
                <w:numId w:val="10"/>
              </w:numPr>
              <w:ind w:left="360" w:right="141"/>
              <w:rPr>
                <w:rFonts w:cs="Arial"/>
                <w:szCs w:val="24"/>
                <w:lang w:val="en-US" w:eastAsia="en-GB"/>
              </w:rPr>
            </w:pPr>
            <w:r>
              <w:rPr>
                <w:rFonts w:cs="Arial"/>
                <w:szCs w:val="24"/>
                <w:lang w:val="en-US" w:eastAsia="en-GB"/>
              </w:rPr>
              <w:t>Programme phasing or delay</w:t>
            </w:r>
          </w:p>
          <w:p w14:paraId="30BC1A5B" w14:textId="77777777" w:rsidR="00827848" w:rsidRDefault="00827848" w:rsidP="00827848">
            <w:pPr>
              <w:pStyle w:val="ListParagraph"/>
              <w:numPr>
                <w:ilvl w:val="0"/>
                <w:numId w:val="10"/>
              </w:numPr>
              <w:ind w:left="360" w:right="141"/>
              <w:rPr>
                <w:rFonts w:cs="Arial"/>
                <w:szCs w:val="24"/>
                <w:lang w:val="en-US" w:eastAsia="en-GB"/>
              </w:rPr>
            </w:pPr>
            <w:r>
              <w:rPr>
                <w:rFonts w:cs="Arial"/>
                <w:szCs w:val="24"/>
                <w:lang w:val="en-US" w:eastAsia="en-GB"/>
              </w:rPr>
              <w:t>Cost management pre and post construction using all available mitigations</w:t>
            </w:r>
          </w:p>
          <w:p w14:paraId="3B4BEBAD" w14:textId="77777777" w:rsidR="00827848" w:rsidRPr="00745E01" w:rsidRDefault="00827848" w:rsidP="00827848">
            <w:pPr>
              <w:pStyle w:val="ListParagraph"/>
              <w:numPr>
                <w:ilvl w:val="0"/>
                <w:numId w:val="10"/>
              </w:numPr>
              <w:ind w:left="360" w:right="141"/>
              <w:rPr>
                <w:rFonts w:cs="Arial"/>
                <w:szCs w:val="24"/>
                <w:lang w:val="en-US" w:eastAsia="en-GB"/>
              </w:rPr>
            </w:pPr>
            <w:r>
              <w:rPr>
                <w:rFonts w:cs="Arial"/>
                <w:szCs w:val="24"/>
                <w:lang w:val="en-US" w:eastAsia="en-GB"/>
              </w:rPr>
              <w:t>Financial model indicates Phase 2 viability at present</w:t>
            </w:r>
          </w:p>
        </w:tc>
        <w:tc>
          <w:tcPr>
            <w:tcW w:w="2125" w:type="dxa"/>
            <w:shd w:val="clear" w:color="auto" w:fill="FFC000"/>
          </w:tcPr>
          <w:p w14:paraId="02B35E33" w14:textId="08DA4370" w:rsidR="00827848" w:rsidRDefault="00827848" w:rsidP="00827848">
            <w:pPr>
              <w:pStyle w:val="ListParagraph"/>
              <w:numPr>
                <w:ilvl w:val="0"/>
                <w:numId w:val="10"/>
              </w:numPr>
              <w:ind w:left="360" w:right="141"/>
              <w:rPr>
                <w:rFonts w:cs="Arial"/>
                <w:szCs w:val="24"/>
                <w:lang w:val="en-US" w:eastAsia="en-GB"/>
              </w:rPr>
            </w:pPr>
            <w:r>
              <w:rPr>
                <w:rFonts w:cs="Arial"/>
                <w:szCs w:val="24"/>
                <w:lang w:val="en-US" w:eastAsia="en-GB"/>
              </w:rPr>
              <w:t>Amber</w:t>
            </w:r>
          </w:p>
        </w:tc>
      </w:tr>
      <w:tr w:rsidR="00827848" w14:paraId="6159F610" w14:textId="7F2F21CC" w:rsidTr="00827848">
        <w:tc>
          <w:tcPr>
            <w:tcW w:w="3231" w:type="dxa"/>
          </w:tcPr>
          <w:p w14:paraId="2999242A" w14:textId="77777777" w:rsidR="00827848" w:rsidRDefault="00827848" w:rsidP="00827848">
            <w:pPr>
              <w:ind w:right="141"/>
              <w:rPr>
                <w:rFonts w:cs="Arial"/>
                <w:szCs w:val="24"/>
                <w:lang w:val="en-US" w:eastAsia="en-GB"/>
              </w:rPr>
            </w:pPr>
            <w:r>
              <w:rPr>
                <w:rFonts w:cs="Arial"/>
                <w:szCs w:val="24"/>
                <w:lang w:val="en-US" w:eastAsia="en-GB"/>
              </w:rPr>
              <w:t>Failure to achieve financial profile leading to burden on Council finances</w:t>
            </w:r>
          </w:p>
        </w:tc>
        <w:tc>
          <w:tcPr>
            <w:tcW w:w="2943" w:type="dxa"/>
          </w:tcPr>
          <w:p w14:paraId="730D1D5F"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Partner finance teams meeting continue</w:t>
            </w:r>
          </w:p>
          <w:p w14:paraId="592CB59A"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Client-side monitoring and reporting</w:t>
            </w:r>
          </w:p>
          <w:p w14:paraId="233FCAF6"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Financial model indicates achievable at present</w:t>
            </w:r>
          </w:p>
        </w:tc>
        <w:tc>
          <w:tcPr>
            <w:tcW w:w="2125" w:type="dxa"/>
            <w:shd w:val="clear" w:color="auto" w:fill="FFC000"/>
          </w:tcPr>
          <w:p w14:paraId="20C20050" w14:textId="3859DE6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Amber</w:t>
            </w:r>
          </w:p>
        </w:tc>
      </w:tr>
      <w:tr w:rsidR="00827848" w14:paraId="399F860E" w14:textId="3963D176" w:rsidTr="00827848">
        <w:tc>
          <w:tcPr>
            <w:tcW w:w="3231" w:type="dxa"/>
          </w:tcPr>
          <w:p w14:paraId="5341B494" w14:textId="77777777" w:rsidR="00827848" w:rsidRDefault="00827848" w:rsidP="00827848">
            <w:pPr>
              <w:ind w:right="141"/>
              <w:rPr>
                <w:rFonts w:cs="Arial"/>
                <w:szCs w:val="24"/>
                <w:lang w:val="en-US" w:eastAsia="en-GB"/>
              </w:rPr>
            </w:pPr>
            <w:r>
              <w:rPr>
                <w:rFonts w:cs="Arial"/>
                <w:szCs w:val="24"/>
                <w:lang w:val="en-US" w:eastAsia="en-GB"/>
              </w:rPr>
              <w:t>Lack of Satisfaction with procurement process and assessment of best value</w:t>
            </w:r>
          </w:p>
        </w:tc>
        <w:tc>
          <w:tcPr>
            <w:tcW w:w="2943" w:type="dxa"/>
          </w:tcPr>
          <w:p w14:paraId="1AB979C5"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 xml:space="preserve">Independent legal advice has been received with regard to the procurement of the HSDP and the </w:t>
            </w:r>
            <w:r>
              <w:rPr>
                <w:rFonts w:cs="Arial"/>
                <w:szCs w:val="24"/>
                <w:lang w:val="en-US" w:eastAsia="en-GB"/>
              </w:rPr>
              <w:lastRenderedPageBreak/>
              <w:t>ability for the Council to use the HSDP for the development of sites other than the Core Sites</w:t>
            </w:r>
          </w:p>
          <w:p w14:paraId="58813289"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The procurement policy for the HSDP requires open book evaluation monitored by the HSDP supervisor to ensure best value. All direct works packages are treated the same. All sub- contract packages are market tendered.</w:t>
            </w:r>
          </w:p>
          <w:p w14:paraId="6F7CA5E8"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Council will appoint appropriate advisers on CWA works.</w:t>
            </w:r>
          </w:p>
          <w:p w14:paraId="1BF5A3F4"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Council’s commercial adviser provides direct advice to Council on viability</w:t>
            </w:r>
          </w:p>
        </w:tc>
        <w:tc>
          <w:tcPr>
            <w:tcW w:w="2125" w:type="dxa"/>
            <w:shd w:val="clear" w:color="auto" w:fill="92D050"/>
          </w:tcPr>
          <w:p w14:paraId="0FDBEC30" w14:textId="6AB5F08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lastRenderedPageBreak/>
              <w:t>Green</w:t>
            </w:r>
          </w:p>
        </w:tc>
      </w:tr>
      <w:tr w:rsidR="00827848" w14:paraId="70DA04B9" w14:textId="2B6F25B2" w:rsidTr="00827848">
        <w:tc>
          <w:tcPr>
            <w:tcW w:w="3231" w:type="dxa"/>
          </w:tcPr>
          <w:p w14:paraId="37E6ACB1" w14:textId="77777777" w:rsidR="00827848" w:rsidRDefault="00827848" w:rsidP="00827848">
            <w:pPr>
              <w:ind w:right="141"/>
              <w:rPr>
                <w:rFonts w:cs="Arial"/>
                <w:szCs w:val="24"/>
                <w:lang w:val="en-US" w:eastAsia="en-GB"/>
              </w:rPr>
            </w:pPr>
            <w:r>
              <w:rPr>
                <w:rFonts w:cs="Arial"/>
                <w:szCs w:val="24"/>
                <w:lang w:val="en-US" w:eastAsia="en-GB"/>
              </w:rPr>
              <w:t>Grange Farm Phase 3 continues to remain unviable</w:t>
            </w:r>
          </w:p>
        </w:tc>
        <w:tc>
          <w:tcPr>
            <w:tcW w:w="2943" w:type="dxa"/>
          </w:tcPr>
          <w:p w14:paraId="277BC178"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Monitoring at hold /gateway points and Business Plan review</w:t>
            </w:r>
          </w:p>
          <w:p w14:paraId="51B9D0CA"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Go/ no go date in 2025</w:t>
            </w:r>
          </w:p>
          <w:p w14:paraId="608BB810"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Retain units for temporary accommodation</w:t>
            </w:r>
          </w:p>
          <w:p w14:paraId="6B21201E"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Minimisation of expenditure on phase 3</w:t>
            </w:r>
          </w:p>
        </w:tc>
        <w:tc>
          <w:tcPr>
            <w:tcW w:w="2125" w:type="dxa"/>
            <w:shd w:val="clear" w:color="auto" w:fill="FFC000"/>
          </w:tcPr>
          <w:p w14:paraId="4A0D43F9" w14:textId="60D96673"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Amber</w:t>
            </w:r>
          </w:p>
        </w:tc>
      </w:tr>
      <w:tr w:rsidR="00827848" w:rsidRPr="00D4325C" w14:paraId="60B265E4" w14:textId="19EC41ED" w:rsidTr="00827848">
        <w:tc>
          <w:tcPr>
            <w:tcW w:w="3231" w:type="dxa"/>
          </w:tcPr>
          <w:p w14:paraId="76F427B6" w14:textId="77777777" w:rsidR="00827848" w:rsidRDefault="00827848" w:rsidP="00827848">
            <w:pPr>
              <w:ind w:right="141"/>
              <w:rPr>
                <w:rFonts w:cs="Arial"/>
                <w:szCs w:val="24"/>
                <w:lang w:val="en-US" w:eastAsia="en-GB"/>
              </w:rPr>
            </w:pPr>
            <w:r>
              <w:rPr>
                <w:rFonts w:cs="Arial"/>
                <w:szCs w:val="24"/>
                <w:lang w:val="en-US" w:eastAsia="en-GB"/>
              </w:rPr>
              <w:t>Failure to obtain successful planning permission for Phases 2 and 3 of Grange Farm</w:t>
            </w:r>
          </w:p>
        </w:tc>
        <w:tc>
          <w:tcPr>
            <w:tcW w:w="2943" w:type="dxa"/>
          </w:tcPr>
          <w:p w14:paraId="0FA470B9"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Pre application discussions with planning and with GLA</w:t>
            </w:r>
          </w:p>
          <w:p w14:paraId="32852992"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Monitoring of legislative proposals</w:t>
            </w:r>
          </w:p>
          <w:p w14:paraId="3998A101" w14:textId="7777777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Political group briefings to continue</w:t>
            </w:r>
          </w:p>
          <w:p w14:paraId="2F656A79" w14:textId="77777777" w:rsidR="00827848" w:rsidRPr="00D4325C"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Risk allowance for climate change and energy strategy changes</w:t>
            </w:r>
          </w:p>
        </w:tc>
        <w:tc>
          <w:tcPr>
            <w:tcW w:w="2125" w:type="dxa"/>
            <w:shd w:val="clear" w:color="auto" w:fill="FFC000"/>
          </w:tcPr>
          <w:p w14:paraId="5ACA2525" w14:textId="0F3C29D7" w:rsidR="00827848" w:rsidRDefault="00827848" w:rsidP="00827848">
            <w:pPr>
              <w:pStyle w:val="ListParagraph"/>
              <w:numPr>
                <w:ilvl w:val="0"/>
                <w:numId w:val="9"/>
              </w:numPr>
              <w:ind w:left="360" w:right="141"/>
              <w:rPr>
                <w:rFonts w:cs="Arial"/>
                <w:szCs w:val="24"/>
                <w:lang w:val="en-US" w:eastAsia="en-GB"/>
              </w:rPr>
            </w:pPr>
            <w:r>
              <w:rPr>
                <w:rFonts w:cs="Arial"/>
                <w:szCs w:val="24"/>
                <w:lang w:val="en-US" w:eastAsia="en-GB"/>
              </w:rPr>
              <w:t>Amber</w:t>
            </w:r>
          </w:p>
        </w:tc>
      </w:tr>
      <w:tr w:rsidR="00827848" w:rsidRPr="00C77081" w14:paraId="4EFD1FE7" w14:textId="6B15E882" w:rsidTr="00827848">
        <w:tc>
          <w:tcPr>
            <w:tcW w:w="3231" w:type="dxa"/>
          </w:tcPr>
          <w:p w14:paraId="36FBD609" w14:textId="77777777" w:rsidR="00827848" w:rsidRDefault="00827848" w:rsidP="00827848">
            <w:pPr>
              <w:ind w:right="141"/>
              <w:rPr>
                <w:rFonts w:cs="Arial"/>
                <w:szCs w:val="24"/>
                <w:lang w:val="en-US" w:eastAsia="en-GB"/>
              </w:rPr>
            </w:pPr>
            <w:r>
              <w:rPr>
                <w:rFonts w:cs="Arial"/>
                <w:szCs w:val="24"/>
                <w:lang w:val="en-US" w:eastAsia="en-GB"/>
              </w:rPr>
              <w:lastRenderedPageBreak/>
              <w:t>Inadequate skills on the Client side to monitor HSDP performance and control risks</w:t>
            </w:r>
          </w:p>
        </w:tc>
        <w:tc>
          <w:tcPr>
            <w:tcW w:w="2943" w:type="dxa"/>
          </w:tcPr>
          <w:p w14:paraId="764EFAEC" w14:textId="77777777" w:rsidR="00827848" w:rsidRPr="00C77081" w:rsidRDefault="00827848" w:rsidP="00827848">
            <w:pPr>
              <w:pStyle w:val="ListParagraph"/>
              <w:numPr>
                <w:ilvl w:val="0"/>
                <w:numId w:val="8"/>
              </w:numPr>
              <w:ind w:left="360" w:right="141"/>
              <w:rPr>
                <w:rFonts w:cs="Arial"/>
                <w:szCs w:val="24"/>
                <w:lang w:val="en-US" w:eastAsia="en-GB"/>
              </w:rPr>
            </w:pPr>
            <w:r>
              <w:rPr>
                <w:rFonts w:cs="Arial"/>
                <w:szCs w:val="24"/>
                <w:lang w:val="en-US" w:eastAsia="en-GB"/>
              </w:rPr>
              <w:t>Council to appoint permanent ‘client side’ structure to ensure the necessary skills and abilities are available</w:t>
            </w:r>
          </w:p>
        </w:tc>
        <w:tc>
          <w:tcPr>
            <w:tcW w:w="2125" w:type="dxa"/>
            <w:shd w:val="clear" w:color="auto" w:fill="FFC000"/>
          </w:tcPr>
          <w:p w14:paraId="4E9E04E0" w14:textId="121DCB57" w:rsidR="00827848" w:rsidRDefault="00827848" w:rsidP="00827848">
            <w:pPr>
              <w:pStyle w:val="ListParagraph"/>
              <w:numPr>
                <w:ilvl w:val="0"/>
                <w:numId w:val="8"/>
              </w:numPr>
              <w:ind w:left="360" w:right="141"/>
              <w:rPr>
                <w:rFonts w:cs="Arial"/>
                <w:szCs w:val="24"/>
                <w:lang w:val="en-US" w:eastAsia="en-GB"/>
              </w:rPr>
            </w:pPr>
            <w:r>
              <w:rPr>
                <w:rFonts w:cs="Arial"/>
                <w:szCs w:val="24"/>
                <w:lang w:val="en-US" w:eastAsia="en-GB"/>
              </w:rPr>
              <w:t>Amber</w:t>
            </w:r>
          </w:p>
        </w:tc>
      </w:tr>
      <w:tr w:rsidR="00827848" w:rsidRPr="00B845F5" w14:paraId="638FFE8C" w14:textId="20200AB7" w:rsidTr="00827848">
        <w:tc>
          <w:tcPr>
            <w:tcW w:w="3231" w:type="dxa"/>
          </w:tcPr>
          <w:p w14:paraId="5FBDB79C" w14:textId="77777777" w:rsidR="00827848" w:rsidRDefault="00827848" w:rsidP="00827848">
            <w:pPr>
              <w:ind w:right="141"/>
              <w:rPr>
                <w:rFonts w:cs="Arial"/>
                <w:szCs w:val="24"/>
                <w:lang w:val="en-US" w:eastAsia="en-GB"/>
              </w:rPr>
            </w:pPr>
            <w:r>
              <w:rPr>
                <w:rFonts w:cs="Arial"/>
                <w:szCs w:val="24"/>
                <w:lang w:val="en-US" w:eastAsia="en-GB"/>
              </w:rPr>
              <w:t>Inadequate governance and assurance over HSDP</w:t>
            </w:r>
          </w:p>
        </w:tc>
        <w:tc>
          <w:tcPr>
            <w:tcW w:w="2943" w:type="dxa"/>
          </w:tcPr>
          <w:p w14:paraId="0C39BB95" w14:textId="77777777" w:rsidR="00827848" w:rsidRPr="00EC0A45" w:rsidRDefault="00827848" w:rsidP="00827848">
            <w:pPr>
              <w:pStyle w:val="ListParagraph"/>
              <w:numPr>
                <w:ilvl w:val="0"/>
                <w:numId w:val="6"/>
              </w:numPr>
              <w:ind w:left="360" w:right="141"/>
              <w:rPr>
                <w:rFonts w:cs="Arial"/>
                <w:szCs w:val="24"/>
                <w:lang w:val="en-US" w:eastAsia="en-GB"/>
              </w:rPr>
            </w:pPr>
            <w:r w:rsidRPr="00EC0A45">
              <w:rPr>
                <w:rFonts w:cs="Arial"/>
                <w:szCs w:val="24"/>
                <w:lang w:val="en-US" w:eastAsia="en-GB"/>
              </w:rPr>
              <w:t>All formal decisions made by the Council are subject to the Council’s normal decision</w:t>
            </w:r>
            <w:r>
              <w:rPr>
                <w:rFonts w:cs="Arial"/>
                <w:szCs w:val="24"/>
                <w:lang w:val="en-US" w:eastAsia="en-GB"/>
              </w:rPr>
              <w:t>-</w:t>
            </w:r>
            <w:r w:rsidRPr="00EC0A45">
              <w:rPr>
                <w:rFonts w:cs="Arial"/>
                <w:szCs w:val="24"/>
                <w:lang w:val="en-US" w:eastAsia="en-GB"/>
              </w:rPr>
              <w:t xml:space="preserve"> making process</w:t>
            </w:r>
          </w:p>
          <w:p w14:paraId="1DDE09CA" w14:textId="77777777" w:rsidR="00827848" w:rsidRDefault="00827848" w:rsidP="00827848">
            <w:pPr>
              <w:pStyle w:val="ListParagraph"/>
              <w:numPr>
                <w:ilvl w:val="0"/>
                <w:numId w:val="6"/>
              </w:numPr>
              <w:ind w:left="360" w:right="141"/>
              <w:rPr>
                <w:rFonts w:cs="Arial"/>
                <w:szCs w:val="24"/>
                <w:lang w:val="en-US" w:eastAsia="en-GB"/>
              </w:rPr>
            </w:pPr>
            <w:r w:rsidRPr="00B845F5">
              <w:rPr>
                <w:rFonts w:cs="Arial"/>
                <w:szCs w:val="24"/>
                <w:lang w:val="en-US" w:eastAsia="en-GB"/>
              </w:rPr>
              <w:t>Decision making is supported by the Council’s corporate strategy board</w:t>
            </w:r>
          </w:p>
          <w:p w14:paraId="6A2A48DF" w14:textId="77777777" w:rsidR="00827848" w:rsidRDefault="00827848" w:rsidP="00827848">
            <w:pPr>
              <w:pStyle w:val="ListParagraph"/>
              <w:numPr>
                <w:ilvl w:val="0"/>
                <w:numId w:val="6"/>
              </w:numPr>
              <w:ind w:left="360" w:right="141"/>
              <w:rPr>
                <w:rFonts w:cs="Arial"/>
                <w:szCs w:val="24"/>
                <w:lang w:val="en-US" w:eastAsia="en-GB"/>
              </w:rPr>
            </w:pPr>
            <w:r>
              <w:rPr>
                <w:rFonts w:cs="Arial"/>
                <w:szCs w:val="24"/>
                <w:lang w:val="en-US" w:eastAsia="en-GB"/>
              </w:rPr>
              <w:t>Delegations’ policy</w:t>
            </w:r>
          </w:p>
          <w:p w14:paraId="733A7F94" w14:textId="77777777" w:rsidR="00827848" w:rsidRDefault="00827848" w:rsidP="00827848">
            <w:pPr>
              <w:pStyle w:val="ListParagraph"/>
              <w:numPr>
                <w:ilvl w:val="0"/>
                <w:numId w:val="6"/>
              </w:numPr>
              <w:ind w:left="360" w:right="141"/>
              <w:rPr>
                <w:rFonts w:cs="Arial"/>
                <w:szCs w:val="24"/>
                <w:lang w:val="en-US" w:eastAsia="en-GB"/>
              </w:rPr>
            </w:pPr>
            <w:r>
              <w:rPr>
                <w:rFonts w:cs="Arial"/>
                <w:szCs w:val="24"/>
                <w:lang w:val="en-US" w:eastAsia="en-GB"/>
              </w:rPr>
              <w:t>Partnership Structure</w:t>
            </w:r>
          </w:p>
          <w:p w14:paraId="263D588A" w14:textId="77777777" w:rsidR="00827848" w:rsidRDefault="00827848" w:rsidP="00827848">
            <w:pPr>
              <w:pStyle w:val="ListParagraph"/>
              <w:numPr>
                <w:ilvl w:val="0"/>
                <w:numId w:val="6"/>
              </w:numPr>
              <w:ind w:left="360" w:right="141"/>
              <w:rPr>
                <w:rFonts w:cs="Arial"/>
                <w:szCs w:val="24"/>
                <w:lang w:val="en-US" w:eastAsia="en-GB"/>
              </w:rPr>
            </w:pPr>
            <w:r>
              <w:rPr>
                <w:rFonts w:cs="Arial"/>
                <w:szCs w:val="24"/>
                <w:lang w:val="en-US" w:eastAsia="en-GB"/>
              </w:rPr>
              <w:t>Cabinet and Overview and Scrutiny oversight</w:t>
            </w:r>
          </w:p>
          <w:p w14:paraId="1A7A5EB5" w14:textId="77777777" w:rsidR="00827848" w:rsidRPr="00B845F5" w:rsidRDefault="00827848" w:rsidP="00827848">
            <w:pPr>
              <w:pStyle w:val="ListParagraph"/>
              <w:numPr>
                <w:ilvl w:val="0"/>
                <w:numId w:val="6"/>
              </w:numPr>
              <w:ind w:left="360" w:right="141"/>
              <w:rPr>
                <w:rFonts w:cs="Arial"/>
                <w:szCs w:val="24"/>
                <w:lang w:val="en-US" w:eastAsia="en-GB"/>
              </w:rPr>
            </w:pPr>
            <w:r>
              <w:rPr>
                <w:rFonts w:cs="Arial"/>
                <w:szCs w:val="24"/>
                <w:lang w:val="en-US" w:eastAsia="en-GB"/>
              </w:rPr>
              <w:t>GARMS involvement as appropriate</w:t>
            </w:r>
          </w:p>
        </w:tc>
        <w:tc>
          <w:tcPr>
            <w:tcW w:w="2125" w:type="dxa"/>
            <w:shd w:val="clear" w:color="auto" w:fill="92D050"/>
          </w:tcPr>
          <w:p w14:paraId="41376BDB" w14:textId="1C0E7EDB" w:rsidR="00827848" w:rsidRPr="00EC0A45" w:rsidRDefault="00827848" w:rsidP="00827848">
            <w:pPr>
              <w:pStyle w:val="ListParagraph"/>
              <w:numPr>
                <w:ilvl w:val="0"/>
                <w:numId w:val="6"/>
              </w:numPr>
              <w:ind w:left="360" w:right="141"/>
              <w:rPr>
                <w:rFonts w:cs="Arial"/>
                <w:szCs w:val="24"/>
                <w:lang w:val="en-US" w:eastAsia="en-GB"/>
              </w:rPr>
            </w:pPr>
            <w:r>
              <w:rPr>
                <w:rFonts w:cs="Arial"/>
                <w:szCs w:val="24"/>
                <w:lang w:val="en-US" w:eastAsia="en-GB"/>
              </w:rPr>
              <w:t>Green</w:t>
            </w:r>
          </w:p>
        </w:tc>
      </w:tr>
      <w:tr w:rsidR="00827848" w:rsidRPr="00EC0A45" w14:paraId="5C7E7026" w14:textId="441F4338" w:rsidTr="00827848">
        <w:tc>
          <w:tcPr>
            <w:tcW w:w="3231" w:type="dxa"/>
          </w:tcPr>
          <w:p w14:paraId="262534ED" w14:textId="77777777" w:rsidR="00827848" w:rsidRDefault="00827848" w:rsidP="00827848">
            <w:pPr>
              <w:ind w:right="141"/>
              <w:rPr>
                <w:rFonts w:cs="Arial"/>
                <w:szCs w:val="24"/>
                <w:lang w:val="en-US" w:eastAsia="en-GB"/>
              </w:rPr>
            </w:pPr>
            <w:r>
              <w:rPr>
                <w:rFonts w:cs="Arial"/>
                <w:szCs w:val="24"/>
                <w:lang w:val="en-US" w:eastAsia="en-GB"/>
              </w:rPr>
              <w:t>The Council does not receive best consideration for its assets in accordance with s123LG Act 1972</w:t>
            </w:r>
          </w:p>
        </w:tc>
        <w:tc>
          <w:tcPr>
            <w:tcW w:w="2943" w:type="dxa"/>
          </w:tcPr>
          <w:p w14:paraId="7C6C296F" w14:textId="77777777" w:rsidR="00827848" w:rsidRPr="00EC0A45" w:rsidRDefault="00827848" w:rsidP="00827848">
            <w:pPr>
              <w:pStyle w:val="ListParagraph"/>
              <w:numPr>
                <w:ilvl w:val="0"/>
                <w:numId w:val="5"/>
              </w:numPr>
              <w:ind w:left="360" w:right="141"/>
              <w:rPr>
                <w:rFonts w:cs="Arial"/>
                <w:szCs w:val="24"/>
                <w:lang w:val="en-US" w:eastAsia="en-GB"/>
              </w:rPr>
            </w:pPr>
            <w:r w:rsidRPr="00EC0A45">
              <w:rPr>
                <w:rFonts w:cs="Arial"/>
                <w:szCs w:val="24"/>
                <w:lang w:val="en-US" w:eastAsia="en-GB"/>
              </w:rPr>
              <w:t xml:space="preserve">The letter from the Council’s commercial advisers Avison Young, included at Appendix </w:t>
            </w:r>
            <w:r>
              <w:rPr>
                <w:rFonts w:cs="Arial"/>
                <w:szCs w:val="24"/>
                <w:lang w:val="en-US" w:eastAsia="en-GB"/>
              </w:rPr>
              <w:t xml:space="preserve">3 </w:t>
            </w:r>
            <w:r w:rsidRPr="00EC0A45">
              <w:rPr>
                <w:rFonts w:cs="Arial"/>
                <w:szCs w:val="24"/>
                <w:lang w:val="en-US" w:eastAsia="en-GB"/>
              </w:rPr>
              <w:t>confirms that the approach remains within the parameters of best consideration set out in its assessment of the report in July 2021. A further assessment will be carried out at the time of proposed land draw down.</w:t>
            </w:r>
          </w:p>
        </w:tc>
        <w:tc>
          <w:tcPr>
            <w:tcW w:w="2125" w:type="dxa"/>
            <w:shd w:val="clear" w:color="auto" w:fill="92D050"/>
          </w:tcPr>
          <w:p w14:paraId="34388C81" w14:textId="73255E83" w:rsidR="00827848" w:rsidRPr="00EC0A45" w:rsidRDefault="00827848" w:rsidP="00827848">
            <w:pPr>
              <w:pStyle w:val="ListParagraph"/>
              <w:numPr>
                <w:ilvl w:val="0"/>
                <w:numId w:val="5"/>
              </w:numPr>
              <w:ind w:left="360" w:right="141"/>
              <w:rPr>
                <w:rFonts w:cs="Arial"/>
                <w:szCs w:val="24"/>
                <w:lang w:val="en-US" w:eastAsia="en-GB"/>
              </w:rPr>
            </w:pPr>
            <w:r>
              <w:rPr>
                <w:rFonts w:cs="Arial"/>
                <w:szCs w:val="24"/>
                <w:lang w:val="en-US" w:eastAsia="en-GB"/>
              </w:rPr>
              <w:t>Green</w:t>
            </w:r>
          </w:p>
        </w:tc>
      </w:tr>
      <w:tr w:rsidR="00827848" w:rsidRPr="00095547" w14:paraId="7554B179" w14:textId="26B4613D" w:rsidTr="00827848">
        <w:tc>
          <w:tcPr>
            <w:tcW w:w="3231" w:type="dxa"/>
          </w:tcPr>
          <w:p w14:paraId="79A14023" w14:textId="77777777" w:rsidR="00827848" w:rsidRDefault="00827848" w:rsidP="00827848">
            <w:pPr>
              <w:ind w:right="141"/>
              <w:rPr>
                <w:rFonts w:cs="Arial"/>
                <w:szCs w:val="24"/>
                <w:lang w:val="en-US" w:eastAsia="en-GB"/>
              </w:rPr>
            </w:pPr>
            <w:r>
              <w:rPr>
                <w:rFonts w:cs="Arial"/>
                <w:szCs w:val="24"/>
                <w:lang w:val="en-US" w:eastAsia="en-GB"/>
              </w:rPr>
              <w:t>Greenhill way is not the best site for the Town Hall</w:t>
            </w:r>
          </w:p>
        </w:tc>
        <w:tc>
          <w:tcPr>
            <w:tcW w:w="2943" w:type="dxa"/>
          </w:tcPr>
          <w:p w14:paraId="3A2672DB" w14:textId="77777777" w:rsidR="00827848" w:rsidRPr="00095547" w:rsidRDefault="00827848" w:rsidP="00827848">
            <w:pPr>
              <w:pStyle w:val="ListParagraph"/>
              <w:numPr>
                <w:ilvl w:val="0"/>
                <w:numId w:val="5"/>
              </w:numPr>
              <w:ind w:left="360" w:right="141"/>
              <w:rPr>
                <w:szCs w:val="24"/>
              </w:rPr>
            </w:pPr>
            <w:r w:rsidRPr="00095547">
              <w:rPr>
                <w:szCs w:val="24"/>
              </w:rPr>
              <w:t xml:space="preserve">The HSDP review concluded of the two sites to develop this on, it is: more easily developable; would form a good potential mixed use development site </w:t>
            </w:r>
            <w:r w:rsidRPr="00095547">
              <w:rPr>
                <w:szCs w:val="24"/>
              </w:rPr>
              <w:lastRenderedPageBreak/>
              <w:t>and in addition would enable a better land value at Poets Corner</w:t>
            </w:r>
            <w:r>
              <w:rPr>
                <w:szCs w:val="24"/>
              </w:rPr>
              <w:t>,</w:t>
            </w:r>
            <w:r w:rsidRPr="00095547">
              <w:rPr>
                <w:szCs w:val="24"/>
              </w:rPr>
              <w:t xml:space="preserve"> the Town Hall can be accommodated within the footprint of the car park and additional residential development can be delivered at the same time.</w:t>
            </w:r>
          </w:p>
          <w:p w14:paraId="70110403" w14:textId="77777777" w:rsidR="00827848" w:rsidRDefault="00827848" w:rsidP="00827848">
            <w:pPr>
              <w:rPr>
                <w:szCs w:val="24"/>
              </w:rPr>
            </w:pPr>
          </w:p>
          <w:p w14:paraId="57D3D9BB" w14:textId="77777777" w:rsidR="00827848" w:rsidRPr="00095547" w:rsidRDefault="00827848" w:rsidP="00827848">
            <w:pPr>
              <w:ind w:right="141"/>
              <w:rPr>
                <w:rFonts w:cs="Arial"/>
                <w:szCs w:val="24"/>
                <w:lang w:val="en-US" w:eastAsia="en-GB"/>
              </w:rPr>
            </w:pPr>
          </w:p>
        </w:tc>
        <w:tc>
          <w:tcPr>
            <w:tcW w:w="2125" w:type="dxa"/>
            <w:shd w:val="clear" w:color="auto" w:fill="92D050"/>
          </w:tcPr>
          <w:p w14:paraId="70F866DA" w14:textId="7BA7C850" w:rsidR="00827848" w:rsidRPr="00095547" w:rsidRDefault="00827848" w:rsidP="00827848">
            <w:pPr>
              <w:pStyle w:val="ListParagraph"/>
              <w:numPr>
                <w:ilvl w:val="0"/>
                <w:numId w:val="5"/>
              </w:numPr>
              <w:ind w:left="360" w:right="141"/>
              <w:rPr>
                <w:szCs w:val="24"/>
              </w:rPr>
            </w:pPr>
            <w:r>
              <w:rPr>
                <w:rFonts w:cs="Arial"/>
                <w:szCs w:val="24"/>
                <w:lang w:val="en-US" w:eastAsia="en-GB"/>
              </w:rPr>
              <w:lastRenderedPageBreak/>
              <w:t xml:space="preserve">Green </w:t>
            </w:r>
          </w:p>
        </w:tc>
      </w:tr>
    </w:tbl>
    <w:p w14:paraId="0249BBDB" w14:textId="095902D2" w:rsidR="002A3FEF" w:rsidRPr="00A57A5E" w:rsidRDefault="00DD1436" w:rsidP="00A1211C">
      <w:pPr>
        <w:pStyle w:val="Heading3"/>
        <w:spacing w:before="480" w:after="240"/>
        <w:rPr>
          <w:rFonts w:ascii="Arial Black" w:hAnsi="Arial Black"/>
          <w:sz w:val="24"/>
          <w:szCs w:val="24"/>
        </w:rPr>
      </w:pPr>
      <w:r>
        <w:rPr>
          <w:rFonts w:ascii="Arial Black" w:hAnsi="Arial Black"/>
          <w:sz w:val="24"/>
          <w:szCs w:val="24"/>
        </w:rPr>
        <w:t>2.10</w:t>
      </w:r>
      <w:r w:rsidR="00A57A5E" w:rsidRPr="00A57A5E">
        <w:rPr>
          <w:rFonts w:ascii="Arial Black" w:hAnsi="Arial Black"/>
          <w:sz w:val="24"/>
          <w:szCs w:val="24"/>
        </w:rPr>
        <w:t xml:space="preserve"> </w:t>
      </w:r>
      <w:r w:rsidR="002A3FEF" w:rsidRPr="00A57A5E">
        <w:rPr>
          <w:rFonts w:ascii="Arial Black" w:hAnsi="Arial Black"/>
          <w:sz w:val="24"/>
          <w:szCs w:val="24"/>
        </w:rPr>
        <w:t xml:space="preserve">Procurement Implications </w:t>
      </w:r>
    </w:p>
    <w:p w14:paraId="6DEE8367" w14:textId="4FB93B57" w:rsidR="003A0845" w:rsidRDefault="003A0845" w:rsidP="003A0845">
      <w:pPr>
        <w:spacing w:before="240"/>
      </w:pPr>
      <w:r>
        <w:t xml:space="preserve">The procurement implications </w:t>
      </w:r>
      <w:r w:rsidR="00AC6948">
        <w:t xml:space="preserve">with </w:t>
      </w:r>
      <w:r>
        <w:t>r</w:t>
      </w:r>
      <w:r w:rsidR="00AC6948">
        <w:t>egard to</w:t>
      </w:r>
      <w:r>
        <w:t xml:space="preserve"> Grange Farm came to Cabinet in November 2021 when the HSDP were </w:t>
      </w:r>
      <w:r w:rsidR="0086716E">
        <w:t>requested</w:t>
      </w:r>
      <w:r>
        <w:t xml:space="preserve"> to submit a business plan. There are no further implications at this time.</w:t>
      </w:r>
    </w:p>
    <w:p w14:paraId="7233FA8E" w14:textId="2AB37EE6" w:rsidR="003A0845" w:rsidRDefault="003A0845" w:rsidP="003A0845">
      <w:pPr>
        <w:spacing w:before="240"/>
      </w:pPr>
      <w:r>
        <w:t>The procurement implications associated with recommendation 3 of this report (Greenhill Way) will be considered in detail in a fu</w:t>
      </w:r>
      <w:r w:rsidR="00AC6948">
        <w:t>r</w:t>
      </w:r>
      <w:r>
        <w:t>th</w:t>
      </w:r>
      <w:r w:rsidR="00AC6948">
        <w:t>e</w:t>
      </w:r>
      <w:r>
        <w:t xml:space="preserve">r report that will come to Cabinet in due course. </w:t>
      </w:r>
    </w:p>
    <w:p w14:paraId="36C4D5DF" w14:textId="77777777" w:rsidR="00573ADA" w:rsidRPr="00573ADA" w:rsidRDefault="00573ADA" w:rsidP="00FC4FA7"/>
    <w:p w14:paraId="44413A6E" w14:textId="12E90DE8" w:rsidR="00333FAA" w:rsidRPr="003773D0" w:rsidRDefault="003773D0" w:rsidP="00137460">
      <w:pPr>
        <w:spacing w:before="240"/>
        <w:rPr>
          <w:rFonts w:ascii="Arial Black" w:hAnsi="Arial Black"/>
          <w:b/>
          <w:bCs/>
        </w:rPr>
      </w:pPr>
      <w:r w:rsidRPr="003773D0">
        <w:rPr>
          <w:rFonts w:ascii="Arial Black" w:hAnsi="Arial Black"/>
          <w:b/>
          <w:bCs/>
        </w:rPr>
        <w:t>2.1</w:t>
      </w:r>
      <w:r w:rsidR="00DD1436">
        <w:rPr>
          <w:rFonts w:ascii="Arial Black" w:hAnsi="Arial Black"/>
          <w:b/>
          <w:bCs/>
        </w:rPr>
        <w:t>1</w:t>
      </w:r>
      <w:r w:rsidRPr="003773D0">
        <w:rPr>
          <w:rFonts w:ascii="Arial Black" w:hAnsi="Arial Black"/>
          <w:b/>
          <w:bCs/>
        </w:rPr>
        <w:t xml:space="preserve"> </w:t>
      </w:r>
      <w:r w:rsidR="00333FAA" w:rsidRPr="003773D0">
        <w:rPr>
          <w:rFonts w:ascii="Arial Black" w:hAnsi="Arial Black"/>
          <w:b/>
          <w:bCs/>
        </w:rPr>
        <w:t>Legal Implications</w:t>
      </w:r>
    </w:p>
    <w:p w14:paraId="7513F360" w14:textId="77777777" w:rsidR="0092377C" w:rsidRPr="00A01977" w:rsidRDefault="0092377C" w:rsidP="0092377C">
      <w:pPr>
        <w:pStyle w:val="CabNumPara"/>
        <w:numPr>
          <w:ilvl w:val="0"/>
          <w:numId w:val="0"/>
        </w:numPr>
        <w:jc w:val="both"/>
      </w:pPr>
      <w:r>
        <w:rPr>
          <w:rFonts w:cs="Arial"/>
          <w:color w:val="000000" w:themeColor="text1"/>
        </w:rPr>
        <w:t>T</w:t>
      </w:r>
      <w:r w:rsidRPr="227E8B06">
        <w:rPr>
          <w:rFonts w:cs="Arial"/>
          <w:color w:val="000000" w:themeColor="text1"/>
        </w:rPr>
        <w:t xml:space="preserve">he Council has power </w:t>
      </w:r>
      <w:r>
        <w:rPr>
          <w:rFonts w:cs="Arial"/>
        </w:rPr>
        <w:t>under</w:t>
      </w:r>
      <w:r w:rsidRPr="227E8B06">
        <w:rPr>
          <w:rFonts w:cs="Arial"/>
          <w:color w:val="000000" w:themeColor="text1"/>
        </w:rPr>
        <w:t xml:space="preserve"> section 123 of the Local Government Act 1972 (“Section 123 LGA 1972”) to dispose of land in any manner it wishes,</w:t>
      </w:r>
      <w:r>
        <w:rPr>
          <w:rFonts w:cs="Arial"/>
          <w:color w:val="000000" w:themeColor="text1"/>
        </w:rPr>
        <w:t xml:space="preserve"> provided the disposal is at the best consideration reasonably obtainable. Any disposal at less than best consideration requires Secretary of State consent. </w:t>
      </w:r>
    </w:p>
    <w:p w14:paraId="196C9EC4" w14:textId="5189D917" w:rsidR="0092377C" w:rsidRDefault="0092377C" w:rsidP="0092377C">
      <w:pPr>
        <w:pStyle w:val="CabNumPara"/>
        <w:numPr>
          <w:ilvl w:val="0"/>
          <w:numId w:val="0"/>
        </w:numPr>
        <w:jc w:val="both"/>
      </w:pPr>
      <w:r w:rsidRPr="227E8B06">
        <w:rPr>
          <w:rFonts w:cs="Arial"/>
        </w:rPr>
        <w:t xml:space="preserve">When </w:t>
      </w:r>
      <w:r>
        <w:rPr>
          <w:rFonts w:cs="Arial"/>
        </w:rPr>
        <w:t>considering the duty under</w:t>
      </w:r>
      <w:r w:rsidRPr="227E8B06">
        <w:rPr>
          <w:rFonts w:cs="Arial"/>
        </w:rPr>
        <w:t xml:space="preserve"> section 123 LGA 1972, what is reasonable in any particular</w:t>
      </w:r>
      <w:r>
        <w:rPr>
          <w:rFonts w:cs="Arial"/>
        </w:rPr>
        <w:t xml:space="preserve"> </w:t>
      </w:r>
      <w:r w:rsidRPr="227E8B06">
        <w:rPr>
          <w:rFonts w:cs="Arial"/>
        </w:rPr>
        <w:t xml:space="preserve">case depends on the facts of the transaction. </w:t>
      </w:r>
      <w:r>
        <w:rPr>
          <w:rFonts w:cs="Arial"/>
        </w:rPr>
        <w:t>Any independent</w:t>
      </w:r>
      <w:r w:rsidRPr="227E8B06">
        <w:rPr>
          <w:rFonts w:cs="Arial"/>
        </w:rPr>
        <w:t xml:space="preserve"> valuation obtained</w:t>
      </w:r>
      <w:r>
        <w:rPr>
          <w:rFonts w:cs="Arial"/>
        </w:rPr>
        <w:t xml:space="preserve"> to demonstrate compliance with the s.123 duty</w:t>
      </w:r>
      <w:r w:rsidRPr="227E8B06">
        <w:rPr>
          <w:rFonts w:cs="Arial"/>
        </w:rPr>
        <w:t xml:space="preserve"> should be up to date and that there should not have been any material and significant changes in circumstances since it was obtained.  </w:t>
      </w:r>
      <w:r>
        <w:rPr>
          <w:rFonts w:cs="Arial"/>
        </w:rPr>
        <w:t>The Council’s plan to obtain a</w:t>
      </w:r>
      <w:r>
        <w:rPr>
          <w:bCs/>
          <w:szCs w:val="24"/>
        </w:rPr>
        <w:t xml:space="preserve"> further valuation report at drawdown of the Grange Farm land when the land value is crystallised, is therefore appropriate. </w:t>
      </w:r>
      <w:r w:rsidRPr="227E8B06">
        <w:rPr>
          <w:rFonts w:cs="Arial"/>
        </w:rPr>
        <w:t xml:space="preserve">In addition, obtaining proper professional advice throughout the process on how to maximise receipts is a material consideration and the Council should limit itself to taking account of those elements of a transaction which are of commercial or monetary value when assessing whether it is obtaining the best consideration reasonably obtainable. </w:t>
      </w:r>
    </w:p>
    <w:p w14:paraId="77138676" w14:textId="77777777" w:rsidR="0092377C" w:rsidRDefault="0092377C" w:rsidP="0092377C">
      <w:pPr>
        <w:jc w:val="both"/>
      </w:pPr>
      <w:r>
        <w:t>Section 12 of the Local Government Act 2003 gives the Council power to invest for any purpose relevant to its functions under any enactment, or for the purposes of the prudent management of its financial affairs. The Council, however, has a general fiduciary duty to its rate payers to get best value for money and needs to have regard to this duty when making decisions relating to spending, including when reviewing the HSDP schemes.</w:t>
      </w:r>
    </w:p>
    <w:p w14:paraId="431A6516" w14:textId="77777777" w:rsidR="0092377C" w:rsidRDefault="0092377C" w:rsidP="0092377C">
      <w:pPr>
        <w:jc w:val="both"/>
      </w:pPr>
    </w:p>
    <w:p w14:paraId="66A4DF85" w14:textId="77777777" w:rsidR="0092377C" w:rsidRDefault="0092377C" w:rsidP="0092377C">
      <w:pPr>
        <w:jc w:val="both"/>
      </w:pPr>
      <w:r>
        <w:t>Legal advice has been sought on incorporating the Grange Farm Phase 2 and 3 works into the HSDP.</w:t>
      </w:r>
    </w:p>
    <w:p w14:paraId="5E1FEC0C" w14:textId="77777777" w:rsidR="0092377C" w:rsidRDefault="0092377C" w:rsidP="0092377C">
      <w:pPr>
        <w:jc w:val="both"/>
      </w:pPr>
    </w:p>
    <w:p w14:paraId="35400BDD" w14:textId="644B63D7" w:rsidR="0092377C" w:rsidRPr="003921C4" w:rsidRDefault="0092377C" w:rsidP="003921C4">
      <w:pPr>
        <w:jc w:val="both"/>
      </w:pPr>
      <w:r>
        <w:t>Legal advice will be sought in relation to the legal agreements and all related legal matters.</w:t>
      </w:r>
    </w:p>
    <w:p w14:paraId="11F2AC04" w14:textId="2186B593" w:rsidR="00333FAA" w:rsidRPr="003773D0" w:rsidRDefault="003773D0" w:rsidP="00A1211C">
      <w:pPr>
        <w:pStyle w:val="Heading3"/>
        <w:spacing w:before="480" w:after="240"/>
        <w:rPr>
          <w:rFonts w:ascii="Arial Black" w:hAnsi="Arial Black"/>
          <w:sz w:val="24"/>
          <w:szCs w:val="24"/>
        </w:rPr>
      </w:pPr>
      <w:r w:rsidRPr="003773D0">
        <w:rPr>
          <w:rFonts w:ascii="Arial Black" w:hAnsi="Arial Black"/>
          <w:sz w:val="24"/>
          <w:szCs w:val="24"/>
        </w:rPr>
        <w:t>2.1</w:t>
      </w:r>
      <w:r w:rsidR="00DD1436">
        <w:rPr>
          <w:rFonts w:ascii="Arial Black" w:hAnsi="Arial Black"/>
          <w:sz w:val="24"/>
          <w:szCs w:val="24"/>
        </w:rPr>
        <w:t>2</w:t>
      </w:r>
      <w:r w:rsidRPr="003773D0">
        <w:rPr>
          <w:rFonts w:ascii="Arial Black" w:hAnsi="Arial Black"/>
          <w:sz w:val="24"/>
          <w:szCs w:val="24"/>
        </w:rPr>
        <w:t xml:space="preserve"> </w:t>
      </w:r>
      <w:r w:rsidR="00333FAA" w:rsidRPr="003773D0">
        <w:rPr>
          <w:rFonts w:ascii="Arial Black" w:hAnsi="Arial Black"/>
          <w:sz w:val="24"/>
          <w:szCs w:val="24"/>
        </w:rPr>
        <w:t>Financial Implications</w:t>
      </w:r>
    </w:p>
    <w:p w14:paraId="36A8836E" w14:textId="77777777" w:rsidR="00150085" w:rsidRPr="00AD3B1E" w:rsidRDefault="00150085" w:rsidP="00150085">
      <w:pPr>
        <w:autoSpaceDE w:val="0"/>
        <w:autoSpaceDN w:val="0"/>
        <w:adjustRightInd w:val="0"/>
      </w:pPr>
      <w:r w:rsidRPr="00AD3B1E">
        <w:t xml:space="preserve">The recommendations to approve the initial Business Plan for Grange Farm (Phase 2) and agree to incorporate the Grange Farm into the HSDP, have financial implications for both the Councils Housing Revenue Account (HRA) and General Fund. </w:t>
      </w:r>
    </w:p>
    <w:p w14:paraId="79C6EEBF" w14:textId="77777777" w:rsidR="00150085" w:rsidRPr="00AD3B1E" w:rsidRDefault="00150085" w:rsidP="00150085">
      <w:pPr>
        <w:autoSpaceDE w:val="0"/>
        <w:autoSpaceDN w:val="0"/>
        <w:adjustRightInd w:val="0"/>
        <w:rPr>
          <w:b/>
          <w:bCs/>
        </w:rPr>
      </w:pPr>
    </w:p>
    <w:p w14:paraId="5FC202C8" w14:textId="05890127" w:rsidR="00150085" w:rsidRPr="00AD3B1E" w:rsidRDefault="00150085" w:rsidP="00150085">
      <w:pPr>
        <w:autoSpaceDE w:val="0"/>
        <w:autoSpaceDN w:val="0"/>
        <w:adjustRightInd w:val="0"/>
      </w:pPr>
      <w:r w:rsidRPr="00AD3B1E">
        <w:t xml:space="preserve">Phase 2 of the Grange Farm Scheme will deliver 256 homes, of which 83 will be affordable and the remaining 173 will be for private sale.  The affordable housing will be built under a Community Works Agreement within the HSDP. The costs will be fully funded by </w:t>
      </w:r>
      <w:r w:rsidR="002D3069">
        <w:t xml:space="preserve">HRA resources and </w:t>
      </w:r>
      <w:r w:rsidRPr="00AD3B1E">
        <w:t xml:space="preserve">Council borrowing, with no external grant contributions, and the capital financing costs will be fully funded by the HRA. </w:t>
      </w:r>
    </w:p>
    <w:p w14:paraId="30F193FD" w14:textId="77777777" w:rsidR="00150085" w:rsidRPr="00AD3B1E" w:rsidRDefault="00150085" w:rsidP="00150085">
      <w:pPr>
        <w:autoSpaceDE w:val="0"/>
        <w:autoSpaceDN w:val="0"/>
        <w:adjustRightInd w:val="0"/>
      </w:pPr>
    </w:p>
    <w:p w14:paraId="3EC728E0" w14:textId="4B178D80" w:rsidR="00150085" w:rsidRPr="00AD3B1E" w:rsidRDefault="00ED77EA" w:rsidP="00150085">
      <w:pPr>
        <w:autoSpaceDE w:val="0"/>
        <w:autoSpaceDN w:val="0"/>
        <w:adjustRightInd w:val="0"/>
        <w:rPr>
          <w:b/>
          <w:bCs/>
          <w:u w:val="single"/>
        </w:rPr>
      </w:pPr>
      <w:r>
        <w:rPr>
          <w:b/>
          <w:bCs/>
          <w:u w:val="single"/>
        </w:rPr>
        <w:t xml:space="preserve">a) </w:t>
      </w:r>
      <w:r w:rsidR="00150085" w:rsidRPr="00AD3B1E">
        <w:rPr>
          <w:b/>
          <w:bCs/>
          <w:u w:val="single"/>
        </w:rPr>
        <w:t>Affordable Homes – Grange Farm Phase 2</w:t>
      </w:r>
    </w:p>
    <w:p w14:paraId="7977FCA7" w14:textId="351CB841" w:rsidR="00150085" w:rsidRPr="00AD3B1E" w:rsidRDefault="00150085" w:rsidP="00150085">
      <w:pPr>
        <w:autoSpaceDE w:val="0"/>
        <w:autoSpaceDN w:val="0"/>
        <w:adjustRightInd w:val="0"/>
      </w:pPr>
      <w:r w:rsidRPr="00AD3B1E">
        <w:t>The total cost of the 83 affordable homes is £37.234m with the spend being profiled over the five-year period 2022/23 to 2027/28. The Council’s current Capital Programme (2022/23 to 2024/25) includes a sum of £25.046m therefore a further £12.</w:t>
      </w:r>
      <w:r w:rsidR="007144F2">
        <w:t>1</w:t>
      </w:r>
      <w:r w:rsidRPr="00AD3B1E">
        <w:t>88m of council borrowing will have to be added into the programme during the annual refresh process. The existing provision in the programme requires re-profiling and this will again be done during the annual refresh process to both the draft Capital Programme (December Cabinet) and the HRA Business Plan (January Cabinet (estimate)). The table below summarises the capital requirements for the 83 affordable units:</w:t>
      </w:r>
    </w:p>
    <w:p w14:paraId="0B24865C" w14:textId="77777777" w:rsidR="00150085" w:rsidRPr="00AD3B1E" w:rsidRDefault="00150085" w:rsidP="00150085">
      <w:pPr>
        <w:autoSpaceDE w:val="0"/>
        <w:autoSpaceDN w:val="0"/>
        <w:adjustRightInd w:val="0"/>
      </w:pPr>
    </w:p>
    <w:p w14:paraId="13433C49" w14:textId="77777777" w:rsidR="00150085" w:rsidRPr="00AD3B1E" w:rsidRDefault="00150085" w:rsidP="00150085">
      <w:pPr>
        <w:autoSpaceDE w:val="0"/>
        <w:autoSpaceDN w:val="0"/>
        <w:adjustRightInd w:val="0"/>
      </w:pPr>
      <w:r w:rsidRPr="00AD3B1E">
        <w:rPr>
          <w:noProof/>
        </w:rPr>
        <w:drawing>
          <wp:inline distT="0" distB="0" distL="0" distR="0" wp14:anchorId="7A9B1583" wp14:editId="2A95463E">
            <wp:extent cx="5276215" cy="101155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215" cy="1011555"/>
                    </a:xfrm>
                    <a:prstGeom prst="rect">
                      <a:avLst/>
                    </a:prstGeom>
                    <a:noFill/>
                    <a:ln>
                      <a:noFill/>
                    </a:ln>
                  </pic:spPr>
                </pic:pic>
              </a:graphicData>
            </a:graphic>
          </wp:inline>
        </w:drawing>
      </w:r>
    </w:p>
    <w:p w14:paraId="156C6D3A" w14:textId="77777777" w:rsidR="00150085" w:rsidRPr="00AD3B1E" w:rsidRDefault="00150085" w:rsidP="00150085">
      <w:pPr>
        <w:autoSpaceDE w:val="0"/>
        <w:autoSpaceDN w:val="0"/>
        <w:adjustRightInd w:val="0"/>
      </w:pPr>
    </w:p>
    <w:p w14:paraId="7BA70017" w14:textId="77777777" w:rsidR="00150085" w:rsidRPr="00AD3B1E" w:rsidRDefault="00150085" w:rsidP="00150085">
      <w:pPr>
        <w:autoSpaceDE w:val="0"/>
        <w:autoSpaceDN w:val="0"/>
        <w:adjustRightInd w:val="0"/>
      </w:pPr>
      <w:bookmarkStart w:id="0" w:name="_Hlk117766443"/>
      <w:r w:rsidRPr="00AD3B1E">
        <w:t>The total scheme cost of £37.234m:</w:t>
      </w:r>
    </w:p>
    <w:p w14:paraId="50BB7122" w14:textId="77777777" w:rsidR="00150085" w:rsidRPr="00AD3B1E" w:rsidRDefault="00150085" w:rsidP="00150085">
      <w:pPr>
        <w:pStyle w:val="ListParagraph"/>
        <w:numPr>
          <w:ilvl w:val="0"/>
          <w:numId w:val="12"/>
        </w:numPr>
        <w:autoSpaceDE w:val="0"/>
        <w:autoSpaceDN w:val="0"/>
        <w:adjustRightInd w:val="0"/>
      </w:pPr>
      <w:r w:rsidRPr="00AD3B1E">
        <w:t>Includes a developer contingency of £1.08m (39% of the total developer’s contingency of £2.7m for Grange Farm Phase 2</w:t>
      </w:r>
    </w:p>
    <w:p w14:paraId="41F00C14" w14:textId="77777777" w:rsidR="00150085" w:rsidRPr="00AD3B1E" w:rsidRDefault="00150085" w:rsidP="00150085">
      <w:pPr>
        <w:pStyle w:val="ListParagraph"/>
        <w:numPr>
          <w:ilvl w:val="0"/>
          <w:numId w:val="12"/>
        </w:numPr>
        <w:autoSpaceDE w:val="0"/>
        <w:autoSpaceDN w:val="0"/>
        <w:adjustRightInd w:val="0"/>
      </w:pPr>
      <w:r w:rsidRPr="00AD3B1E">
        <w:t>Assumes build cost inflation of 11.41% between today and the incurrence of the costs.</w:t>
      </w:r>
    </w:p>
    <w:p w14:paraId="310C363B" w14:textId="65B5912F" w:rsidR="00150085" w:rsidRPr="00AD3B1E" w:rsidRDefault="00150085" w:rsidP="00150085">
      <w:pPr>
        <w:pStyle w:val="ListParagraph"/>
        <w:numPr>
          <w:ilvl w:val="0"/>
          <w:numId w:val="12"/>
        </w:numPr>
        <w:autoSpaceDE w:val="0"/>
        <w:autoSpaceDN w:val="0"/>
        <w:adjustRightInd w:val="0"/>
      </w:pPr>
      <w:r w:rsidRPr="00AD3B1E">
        <w:t>Is affordable within the HRA business plan.  Any variation in cost, which is not contained within the contingency sum of £1.08m, will have to be contained, and be affordable, within the HRA business plan</w:t>
      </w:r>
      <w:r w:rsidR="00C16213">
        <w:t>.</w:t>
      </w:r>
      <w:r w:rsidR="0072414B">
        <w:t xml:space="preserve"> </w:t>
      </w:r>
      <w:r w:rsidR="008A1F50">
        <w:t xml:space="preserve">An earmarked reserve has been set up for unforeseen financial risks </w:t>
      </w:r>
      <w:r w:rsidR="008A1F50">
        <w:rPr>
          <w:rFonts w:cs="Arial"/>
          <w:szCs w:val="24"/>
          <w:lang w:eastAsia="en-GB"/>
        </w:rPr>
        <w:t>to mitigate against the financial risk associated with the new build programme</w:t>
      </w:r>
      <w:r w:rsidR="00AB14A5">
        <w:rPr>
          <w:rFonts w:cs="Arial"/>
          <w:szCs w:val="24"/>
          <w:lang w:eastAsia="en-GB"/>
        </w:rPr>
        <w:t xml:space="preserve"> within the HRA</w:t>
      </w:r>
      <w:r w:rsidR="008A1F50">
        <w:rPr>
          <w:rFonts w:cs="Arial"/>
          <w:szCs w:val="24"/>
          <w:lang w:eastAsia="en-GB"/>
        </w:rPr>
        <w:t>.</w:t>
      </w:r>
      <w:r w:rsidR="00121C1C">
        <w:rPr>
          <w:rFonts w:cs="Arial"/>
          <w:szCs w:val="24"/>
          <w:lang w:eastAsia="en-GB"/>
        </w:rPr>
        <w:t xml:space="preserve"> </w:t>
      </w:r>
      <w:r w:rsidR="008A1F50">
        <w:rPr>
          <w:rFonts w:cs="Arial"/>
          <w:szCs w:val="24"/>
          <w:lang w:eastAsia="en-GB"/>
        </w:rPr>
        <w:t>The level of this reserve will be reviewed as part of the annual refresh of the HRA business plan.</w:t>
      </w:r>
    </w:p>
    <w:p w14:paraId="3C893C8B" w14:textId="77777777" w:rsidR="00150085" w:rsidRPr="00AD3B1E" w:rsidRDefault="00150085" w:rsidP="00150085">
      <w:pPr>
        <w:autoSpaceDE w:val="0"/>
        <w:autoSpaceDN w:val="0"/>
        <w:adjustRightInd w:val="0"/>
      </w:pPr>
    </w:p>
    <w:p w14:paraId="77E4626E" w14:textId="44C931BC" w:rsidR="00150085" w:rsidRPr="00AD3B1E" w:rsidRDefault="00150085" w:rsidP="00150085">
      <w:pPr>
        <w:autoSpaceDE w:val="0"/>
        <w:autoSpaceDN w:val="0"/>
        <w:adjustRightInd w:val="0"/>
      </w:pPr>
      <w:r w:rsidRPr="00AD3B1E">
        <w:t xml:space="preserve">In terms of governance arrangements for the CWA, the HSDP will manage the scheme on </w:t>
      </w:r>
      <w:r w:rsidR="008A1F50">
        <w:t>be</w:t>
      </w:r>
      <w:r w:rsidRPr="00AD3B1E">
        <w:t xml:space="preserve">half of the Council’s Housing function. The Councils Housing function will be responsible for liaising with the HSDP to ensure the scheme is delivered to the specification, price and timetable agreed. </w:t>
      </w:r>
    </w:p>
    <w:bookmarkEnd w:id="0"/>
    <w:p w14:paraId="0FA1102C" w14:textId="77777777" w:rsidR="00150085" w:rsidRPr="00AD3B1E" w:rsidRDefault="00150085" w:rsidP="00150085">
      <w:pPr>
        <w:autoSpaceDE w:val="0"/>
        <w:autoSpaceDN w:val="0"/>
        <w:adjustRightInd w:val="0"/>
      </w:pPr>
    </w:p>
    <w:p w14:paraId="30F6255A" w14:textId="79FE9AFC" w:rsidR="00150085" w:rsidRPr="00AD3B1E" w:rsidRDefault="00ED77EA" w:rsidP="00150085">
      <w:pPr>
        <w:autoSpaceDE w:val="0"/>
        <w:autoSpaceDN w:val="0"/>
        <w:adjustRightInd w:val="0"/>
        <w:rPr>
          <w:b/>
          <w:bCs/>
          <w:u w:val="single"/>
        </w:rPr>
      </w:pPr>
      <w:r>
        <w:rPr>
          <w:b/>
          <w:bCs/>
          <w:u w:val="single"/>
        </w:rPr>
        <w:t xml:space="preserve">b) </w:t>
      </w:r>
      <w:r w:rsidR="00150085" w:rsidRPr="00AD3B1E">
        <w:rPr>
          <w:b/>
          <w:bCs/>
          <w:u w:val="single"/>
        </w:rPr>
        <w:t>Homes for Private Sale</w:t>
      </w:r>
    </w:p>
    <w:p w14:paraId="6E03BE77" w14:textId="77777777" w:rsidR="00150085" w:rsidRPr="00AD3B1E" w:rsidRDefault="00150085" w:rsidP="00150085">
      <w:pPr>
        <w:textAlignment w:val="baseline"/>
        <w:rPr>
          <w:rFonts w:cs="Arial"/>
          <w:szCs w:val="24"/>
          <w:lang w:eastAsia="en-GB"/>
        </w:rPr>
      </w:pPr>
      <w:r w:rsidRPr="00AD3B1E">
        <w:rPr>
          <w:rFonts w:cs="Arial"/>
          <w:szCs w:val="24"/>
          <w:lang w:eastAsia="en-GB"/>
        </w:rPr>
        <w:t>The Financial Viability Model encompasses the financial implications of the Harrow Strategic Development Partnership allocated over the various sites.  The original model covered Peel Road, Bryon Quarter and Poets Corner) and the new Harrow Civic Centre (HNC) including basement parking. Following the ‘pause’ in the Regeneration Programme, as thinking now moves forward on sites, the model is being refreshed on a site by site based on the planned activity within the site Business Plan.  The first Business Plan and financial   model is for Grange Farm Phase 2 and the 173 homes for private sale which will be managed as part of the ‘50/50’ arrangement within the HSDP.  The Business Plan will be subject to review which could lead to changes in the model and this will be managed and reported through the governance arrangements supporting the development partnership.  </w:t>
      </w:r>
    </w:p>
    <w:p w14:paraId="20AED418" w14:textId="77777777" w:rsidR="00150085" w:rsidRPr="00AD3B1E" w:rsidRDefault="00150085" w:rsidP="00150085">
      <w:pPr>
        <w:textAlignment w:val="baseline"/>
        <w:rPr>
          <w:rFonts w:cs="Arial"/>
          <w:szCs w:val="24"/>
          <w:lang w:eastAsia="en-GB"/>
        </w:rPr>
      </w:pPr>
    </w:p>
    <w:p w14:paraId="42FF209D" w14:textId="1B2711FE" w:rsidR="00150085" w:rsidRPr="00AD3B1E" w:rsidRDefault="00150085" w:rsidP="00150085">
      <w:pPr>
        <w:textAlignment w:val="baseline"/>
        <w:rPr>
          <w:rFonts w:cs="Arial"/>
          <w:szCs w:val="24"/>
          <w:lang w:eastAsia="en-GB"/>
        </w:rPr>
      </w:pPr>
      <w:r w:rsidRPr="00AD3B1E">
        <w:rPr>
          <w:rFonts w:cs="Arial"/>
          <w:szCs w:val="24"/>
          <w:lang w:eastAsia="en-GB"/>
        </w:rPr>
        <w:t xml:space="preserve">The model covers a 7 </w:t>
      </w:r>
      <w:r w:rsidR="00FE3000">
        <w:rPr>
          <w:rFonts w:cs="Arial"/>
          <w:szCs w:val="24"/>
          <w:lang w:eastAsia="en-GB"/>
        </w:rPr>
        <w:t>-</w:t>
      </w:r>
      <w:r w:rsidRPr="00AD3B1E">
        <w:rPr>
          <w:rFonts w:cs="Arial"/>
          <w:szCs w:val="24"/>
          <w:lang w:eastAsia="en-GB"/>
        </w:rPr>
        <w:t>year period from 2022 to 2028. The values quoted for the Councils capital requirements and investment returns are in line with the model at the point of agreeing the Business Plan. The summary model for the 173 homes is detailed below:</w:t>
      </w:r>
    </w:p>
    <w:p w14:paraId="5092F2C9" w14:textId="3880A324" w:rsidR="00150085" w:rsidRPr="00AD3B1E" w:rsidRDefault="00150085" w:rsidP="00150085">
      <w:pPr>
        <w:textAlignment w:val="baseline"/>
        <w:rPr>
          <w:rFonts w:cs="Arial"/>
          <w:szCs w:val="24"/>
          <w:lang w:eastAsia="en-GB"/>
        </w:rPr>
      </w:pPr>
      <w:r w:rsidRPr="00AD3B1E">
        <w:rPr>
          <w:noProof/>
        </w:rPr>
        <w:drawing>
          <wp:inline distT="0" distB="0" distL="0" distR="0" wp14:anchorId="3BB4718B" wp14:editId="1474C41B">
            <wp:extent cx="5276215" cy="478917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215" cy="4789170"/>
                    </a:xfrm>
                    <a:prstGeom prst="rect">
                      <a:avLst/>
                    </a:prstGeom>
                    <a:noFill/>
                    <a:ln>
                      <a:noFill/>
                    </a:ln>
                  </pic:spPr>
                </pic:pic>
              </a:graphicData>
            </a:graphic>
          </wp:inline>
        </w:drawing>
      </w:r>
    </w:p>
    <w:p w14:paraId="2C4FD94E" w14:textId="15B7783B" w:rsidR="00150085" w:rsidRPr="00AD3B1E" w:rsidRDefault="00150085" w:rsidP="00150085">
      <w:pPr>
        <w:textAlignment w:val="baseline"/>
        <w:rPr>
          <w:rFonts w:cs="Arial"/>
          <w:szCs w:val="24"/>
          <w:lang w:eastAsia="en-GB"/>
        </w:rPr>
      </w:pPr>
      <w:r w:rsidRPr="00AD3B1E">
        <w:rPr>
          <w:rFonts w:cs="Arial"/>
          <w:szCs w:val="24"/>
          <w:lang w:eastAsia="en-GB"/>
        </w:rPr>
        <w:lastRenderedPageBreak/>
        <w:t xml:space="preserve">The Councils total capital investment into the HSDP over the 7-year period will be £9.905m. This cost includes a developer’s contingency of £1.695m.  The financial model assumes 2% inflation per annum on sales and build costs are inflated by 11.41% between today and the incurrence of the costs. The total capital investment figure of £9.905m is the investment required by the Council and therefore excludes the Council owned land which is required to be transferred into the partnership. The land on which the private market sale homes are to be built on is owed by the Council’s HRA. The land has </w:t>
      </w:r>
      <w:r w:rsidR="00E052FB" w:rsidRPr="00AD3B1E">
        <w:rPr>
          <w:rFonts w:cs="Arial"/>
          <w:szCs w:val="24"/>
          <w:lang w:eastAsia="en-GB"/>
        </w:rPr>
        <w:t xml:space="preserve">a residual value </w:t>
      </w:r>
      <w:r w:rsidR="00674E9C" w:rsidRPr="00AD3B1E">
        <w:rPr>
          <w:rFonts w:cs="Arial"/>
          <w:szCs w:val="24"/>
          <w:lang w:eastAsia="en-GB"/>
        </w:rPr>
        <w:t>of</w:t>
      </w:r>
      <w:r w:rsidRPr="00AD3B1E">
        <w:rPr>
          <w:rFonts w:cs="Arial"/>
          <w:szCs w:val="24"/>
          <w:lang w:eastAsia="en-GB"/>
        </w:rPr>
        <w:t xml:space="preserve"> £1.025m </w:t>
      </w:r>
      <w:r w:rsidR="00674E9C" w:rsidRPr="00AD3B1E">
        <w:rPr>
          <w:rFonts w:cs="Arial"/>
          <w:szCs w:val="24"/>
          <w:lang w:eastAsia="en-GB"/>
        </w:rPr>
        <w:t>based on the assumptions within the Business Plan</w:t>
      </w:r>
      <w:r w:rsidRPr="00AD3B1E">
        <w:rPr>
          <w:rFonts w:cs="Arial"/>
          <w:szCs w:val="24"/>
          <w:lang w:eastAsia="en-GB"/>
        </w:rPr>
        <w:t xml:space="preserve">. </w:t>
      </w:r>
      <w:r w:rsidR="00037953">
        <w:rPr>
          <w:rFonts w:cs="Arial"/>
          <w:szCs w:val="24"/>
          <w:lang w:eastAsia="en-GB"/>
        </w:rPr>
        <w:t>This will change at the point of drawdown</w:t>
      </w:r>
      <w:r w:rsidR="00F50D49">
        <w:rPr>
          <w:rFonts w:cs="Arial"/>
          <w:szCs w:val="24"/>
          <w:lang w:eastAsia="en-GB"/>
        </w:rPr>
        <w:t>.</w:t>
      </w:r>
    </w:p>
    <w:p w14:paraId="0E5059DC" w14:textId="77777777" w:rsidR="00150085" w:rsidRPr="00AD3B1E" w:rsidRDefault="00150085" w:rsidP="00150085">
      <w:pPr>
        <w:textAlignment w:val="baseline"/>
        <w:rPr>
          <w:rFonts w:cs="Arial"/>
          <w:szCs w:val="24"/>
          <w:lang w:eastAsia="en-GB"/>
        </w:rPr>
      </w:pPr>
    </w:p>
    <w:p w14:paraId="3B93FC34" w14:textId="77777777" w:rsidR="00150085" w:rsidRPr="00AD3B1E" w:rsidRDefault="00150085" w:rsidP="00150085">
      <w:pPr>
        <w:textAlignment w:val="baseline"/>
        <w:rPr>
          <w:rFonts w:cs="Arial"/>
          <w:sz w:val="18"/>
          <w:szCs w:val="18"/>
          <w:lang w:eastAsia="en-GB"/>
        </w:rPr>
      </w:pPr>
      <w:r w:rsidRPr="00AD3B1E">
        <w:rPr>
          <w:rFonts w:cs="Arial"/>
          <w:szCs w:val="24"/>
          <w:lang w:eastAsia="en-GB"/>
        </w:rPr>
        <w:t>The capital investment requirement will be funded by a total of £10.931m capital receipts received from the partnership as properties are completed and sold, as detailed: </w:t>
      </w:r>
    </w:p>
    <w:p w14:paraId="373F21F8" w14:textId="77777777" w:rsidR="00150085" w:rsidRPr="00AD3B1E" w:rsidRDefault="00150085" w:rsidP="00150085">
      <w:pPr>
        <w:textAlignment w:val="baseline"/>
        <w:rPr>
          <w:rFonts w:cs="Arial"/>
          <w:sz w:val="18"/>
          <w:szCs w:val="18"/>
          <w:lang w:eastAsia="en-GB"/>
        </w:rPr>
      </w:pPr>
      <w:r w:rsidRPr="00AD3B1E">
        <w:rPr>
          <w:rFonts w:cs="Arial"/>
          <w:szCs w:val="24"/>
          <w:lang w:eastAsia="en-GB"/>
        </w:rPr>
        <w:t> </w:t>
      </w:r>
    </w:p>
    <w:p w14:paraId="0C070116" w14:textId="77777777" w:rsidR="00150085" w:rsidRPr="005877DD" w:rsidRDefault="00150085" w:rsidP="005877DD">
      <w:pPr>
        <w:pStyle w:val="ListParagraph"/>
        <w:numPr>
          <w:ilvl w:val="1"/>
          <w:numId w:val="25"/>
        </w:numPr>
        <w:ind w:left="1080"/>
        <w:textAlignment w:val="baseline"/>
        <w:rPr>
          <w:rFonts w:cs="Arial"/>
          <w:sz w:val="18"/>
          <w:szCs w:val="18"/>
          <w:lang w:eastAsia="en-GB"/>
        </w:rPr>
      </w:pPr>
      <w:r w:rsidRPr="005877DD">
        <w:rPr>
          <w:rFonts w:cs="Arial"/>
          <w:szCs w:val="24"/>
          <w:lang w:eastAsia="en-GB"/>
        </w:rPr>
        <w:t>£9.905m – capital receipts in repayment for the £9.905m capital investment in the HSDP </w:t>
      </w:r>
    </w:p>
    <w:p w14:paraId="03C1623E" w14:textId="753253D2" w:rsidR="00150085" w:rsidRPr="00AD3B1E" w:rsidRDefault="00150085" w:rsidP="005877DD">
      <w:pPr>
        <w:ind w:left="-720" w:firstLine="68"/>
        <w:textAlignment w:val="baseline"/>
        <w:rPr>
          <w:rFonts w:cs="Arial"/>
          <w:sz w:val="18"/>
          <w:szCs w:val="18"/>
          <w:lang w:eastAsia="en-GB"/>
        </w:rPr>
      </w:pPr>
    </w:p>
    <w:p w14:paraId="2CE28F4F" w14:textId="77777777" w:rsidR="00150085" w:rsidRPr="005877DD" w:rsidRDefault="00150085" w:rsidP="005877DD">
      <w:pPr>
        <w:pStyle w:val="ListParagraph"/>
        <w:numPr>
          <w:ilvl w:val="1"/>
          <w:numId w:val="25"/>
        </w:numPr>
        <w:ind w:left="1080"/>
        <w:textAlignment w:val="baseline"/>
        <w:rPr>
          <w:rFonts w:cs="Arial"/>
          <w:sz w:val="18"/>
          <w:szCs w:val="18"/>
          <w:lang w:eastAsia="en-GB"/>
        </w:rPr>
      </w:pPr>
      <w:r w:rsidRPr="005877DD">
        <w:rPr>
          <w:rFonts w:cs="Arial"/>
          <w:szCs w:val="24"/>
          <w:lang w:eastAsia="en-GB"/>
        </w:rPr>
        <w:t>£1.025m – capital receipts in repayment for the £1.025m land value </w:t>
      </w:r>
    </w:p>
    <w:p w14:paraId="0AA098AD" w14:textId="77777777" w:rsidR="00150085" w:rsidRPr="00AD3B1E" w:rsidRDefault="00150085" w:rsidP="00150085">
      <w:pPr>
        <w:textAlignment w:val="baseline"/>
        <w:rPr>
          <w:rFonts w:cs="Arial"/>
          <w:szCs w:val="24"/>
          <w:lang w:eastAsia="en-GB"/>
        </w:rPr>
      </w:pPr>
    </w:p>
    <w:p w14:paraId="4E0DE98E" w14:textId="77777777" w:rsidR="00150085" w:rsidRDefault="00150085" w:rsidP="00150085">
      <w:pPr>
        <w:textAlignment w:val="baseline"/>
        <w:rPr>
          <w:rFonts w:cs="Arial"/>
          <w:szCs w:val="24"/>
          <w:lang w:eastAsia="en-GB"/>
        </w:rPr>
      </w:pPr>
      <w:r w:rsidRPr="00AD3B1E">
        <w:rPr>
          <w:rFonts w:cs="Arial"/>
          <w:szCs w:val="24"/>
          <w:lang w:eastAsia="en-GB"/>
        </w:rPr>
        <w:t xml:space="preserve">Upon repayment of the £1.025m capital receipt for land value, there will be an </w:t>
      </w:r>
      <w:r>
        <w:rPr>
          <w:rFonts w:cs="Arial"/>
          <w:szCs w:val="24"/>
          <w:lang w:eastAsia="en-GB"/>
        </w:rPr>
        <w:t xml:space="preserve">adjustment between the debt financing arrangements between the General Fund and the HRA to reflect HRA ownership of the land. </w:t>
      </w:r>
    </w:p>
    <w:p w14:paraId="06C5DC15" w14:textId="77777777" w:rsidR="00150085" w:rsidRDefault="00150085" w:rsidP="00150085">
      <w:pPr>
        <w:textAlignment w:val="baseline"/>
        <w:rPr>
          <w:rFonts w:cs="Arial"/>
          <w:szCs w:val="24"/>
          <w:lang w:eastAsia="en-GB"/>
        </w:rPr>
      </w:pPr>
    </w:p>
    <w:p w14:paraId="6F98CFE4" w14:textId="3F26CA9A" w:rsidR="00150085" w:rsidRDefault="00150085" w:rsidP="00150085">
      <w:pPr>
        <w:textAlignment w:val="baseline"/>
        <w:rPr>
          <w:rFonts w:cs="Arial"/>
          <w:szCs w:val="24"/>
          <w:lang w:eastAsia="en-GB"/>
        </w:rPr>
      </w:pPr>
      <w:r w:rsidRPr="005161D9">
        <w:rPr>
          <w:rFonts w:cs="Arial"/>
          <w:szCs w:val="24"/>
          <w:lang w:eastAsia="en-GB"/>
        </w:rPr>
        <w:t>The model profile shows that there is a 2-year gap between the capital investment into the HSDP and the capital receipt being returned to the Council.  Rather than borrowing the capital investment on a short-term basis, which would incur additional capital financing costs, it is proposed to use capital budget already included in the Councils Capital Programme.  The current Capital Programme includes a budget of £10.198m in 2022/23</w:t>
      </w:r>
      <w:r w:rsidR="008C72FD">
        <w:rPr>
          <w:rFonts w:cs="Arial"/>
          <w:szCs w:val="24"/>
          <w:lang w:eastAsia="en-GB"/>
        </w:rPr>
        <w:t xml:space="preserve"> and</w:t>
      </w:r>
      <w:r w:rsidRPr="005161D9">
        <w:rPr>
          <w:rFonts w:cs="Arial"/>
          <w:szCs w:val="24"/>
          <w:lang w:eastAsia="en-GB"/>
        </w:rPr>
        <w:t xml:space="preserve"> £1.915m in 2023/24 for the scheme ‘Regeneration – Investment in 3 Core Sites.’ There are no commitments against this £12.113m budget and it will be sufficient to fund the £9,905m capital investment profiled for 2024 and the cost of taking Grange Farm – Phase 3 (private sale homes) to planning and design stage, as detailed later in the financial implications section.</w:t>
      </w:r>
      <w:r>
        <w:rPr>
          <w:rFonts w:cs="Arial"/>
          <w:szCs w:val="24"/>
          <w:lang w:eastAsia="en-GB"/>
        </w:rPr>
        <w:t xml:space="preserve"> </w:t>
      </w:r>
    </w:p>
    <w:p w14:paraId="546C5BDB" w14:textId="77777777" w:rsidR="00150085" w:rsidRDefault="00150085" w:rsidP="00150085">
      <w:pPr>
        <w:textAlignment w:val="baseline"/>
        <w:rPr>
          <w:rFonts w:cs="Arial"/>
          <w:szCs w:val="24"/>
          <w:lang w:eastAsia="en-GB"/>
        </w:rPr>
      </w:pPr>
    </w:p>
    <w:p w14:paraId="5C0CCE7A" w14:textId="77777777" w:rsidR="00150085" w:rsidRDefault="00150085" w:rsidP="00150085">
      <w:pPr>
        <w:textAlignment w:val="baseline"/>
        <w:rPr>
          <w:rFonts w:cs="Arial"/>
          <w:szCs w:val="24"/>
          <w:lang w:eastAsia="en-GB"/>
        </w:rPr>
      </w:pPr>
      <w:r>
        <w:rPr>
          <w:rFonts w:cs="Arial"/>
          <w:szCs w:val="24"/>
          <w:lang w:eastAsia="en-GB"/>
        </w:rPr>
        <w:t>It is accepted that Grange Farm was not one of the three core sites as part of the original HSDP arrangement but using capital budget already in the Capital Programme is thought more prudent:</w:t>
      </w:r>
    </w:p>
    <w:p w14:paraId="725A0A10" w14:textId="56F28C68" w:rsidR="00150085" w:rsidRDefault="00150085" w:rsidP="00150085">
      <w:pPr>
        <w:pStyle w:val="ListParagraph"/>
        <w:numPr>
          <w:ilvl w:val="0"/>
          <w:numId w:val="12"/>
        </w:numPr>
        <w:textAlignment w:val="baseline"/>
        <w:rPr>
          <w:rFonts w:cs="Arial"/>
          <w:szCs w:val="24"/>
          <w:lang w:eastAsia="en-GB"/>
        </w:rPr>
      </w:pPr>
      <w:r>
        <w:rPr>
          <w:rFonts w:cs="Arial"/>
          <w:szCs w:val="24"/>
          <w:lang w:eastAsia="en-GB"/>
        </w:rPr>
        <w:t xml:space="preserve">To </w:t>
      </w:r>
      <w:r w:rsidRPr="00A77CFE">
        <w:rPr>
          <w:rFonts w:cs="Arial"/>
          <w:szCs w:val="24"/>
          <w:lang w:eastAsia="en-GB"/>
        </w:rPr>
        <w:t>prevent additional capital financing costs</w:t>
      </w:r>
      <w:r>
        <w:rPr>
          <w:rFonts w:cs="Arial"/>
          <w:szCs w:val="24"/>
          <w:lang w:eastAsia="en-GB"/>
        </w:rPr>
        <w:t xml:space="preserve"> becoming a pressure to the Medium </w:t>
      </w:r>
      <w:r w:rsidR="00F148EC">
        <w:rPr>
          <w:rFonts w:cs="Arial"/>
          <w:szCs w:val="24"/>
          <w:lang w:eastAsia="en-GB"/>
        </w:rPr>
        <w:t>-</w:t>
      </w:r>
      <w:r>
        <w:rPr>
          <w:rFonts w:cs="Arial"/>
          <w:szCs w:val="24"/>
          <w:lang w:eastAsia="en-GB"/>
        </w:rPr>
        <w:t>Term Financial Strategy (MTFS)</w:t>
      </w:r>
    </w:p>
    <w:p w14:paraId="03410FA9" w14:textId="77777777" w:rsidR="00150085" w:rsidRDefault="00150085" w:rsidP="00150085">
      <w:pPr>
        <w:pStyle w:val="ListParagraph"/>
        <w:numPr>
          <w:ilvl w:val="0"/>
          <w:numId w:val="12"/>
        </w:numPr>
        <w:textAlignment w:val="baseline"/>
        <w:rPr>
          <w:rFonts w:cs="Arial"/>
          <w:szCs w:val="24"/>
          <w:lang w:eastAsia="en-GB"/>
        </w:rPr>
      </w:pPr>
      <w:r>
        <w:rPr>
          <w:rFonts w:cs="Arial"/>
          <w:szCs w:val="24"/>
          <w:lang w:eastAsia="en-GB"/>
        </w:rPr>
        <w:t>To provide the Council more flexibility when receiving the capital receipt and revenue returns from the HDSP</w:t>
      </w:r>
    </w:p>
    <w:p w14:paraId="72028602" w14:textId="77777777" w:rsidR="00150085" w:rsidRDefault="00150085" w:rsidP="00150085">
      <w:pPr>
        <w:textAlignment w:val="baseline"/>
        <w:rPr>
          <w:rFonts w:cs="Arial"/>
          <w:szCs w:val="24"/>
          <w:lang w:eastAsia="en-GB"/>
        </w:rPr>
      </w:pPr>
    </w:p>
    <w:p w14:paraId="65DBDCBC" w14:textId="08FA2880" w:rsidR="00150085" w:rsidRPr="002B01F5" w:rsidRDefault="00150085" w:rsidP="00150085">
      <w:pPr>
        <w:textAlignment w:val="baseline"/>
        <w:rPr>
          <w:rFonts w:cs="Arial"/>
          <w:sz w:val="18"/>
          <w:szCs w:val="18"/>
          <w:lang w:eastAsia="en-GB"/>
        </w:rPr>
      </w:pPr>
      <w:r w:rsidRPr="002B01F5">
        <w:rPr>
          <w:rFonts w:cs="Arial"/>
          <w:szCs w:val="24"/>
          <w:lang w:eastAsia="en-GB"/>
        </w:rPr>
        <w:t xml:space="preserve">In terms of revenue implications, the model calculates interest payments due to the Council at </w:t>
      </w:r>
      <w:r w:rsidR="008A1F50">
        <w:rPr>
          <w:rFonts w:cs="Arial"/>
          <w:szCs w:val="24"/>
          <w:lang w:eastAsia="en-GB"/>
        </w:rPr>
        <w:t>£1.582m:</w:t>
      </w:r>
    </w:p>
    <w:p w14:paraId="3EAFF954" w14:textId="77777777" w:rsidR="00150085" w:rsidRPr="002B01F5" w:rsidRDefault="00150085" w:rsidP="00150085">
      <w:pPr>
        <w:textAlignment w:val="baseline"/>
        <w:rPr>
          <w:rFonts w:cs="Arial"/>
          <w:sz w:val="18"/>
          <w:szCs w:val="18"/>
          <w:lang w:eastAsia="en-GB"/>
        </w:rPr>
      </w:pPr>
      <w:r w:rsidRPr="002B01F5">
        <w:rPr>
          <w:rFonts w:cs="Arial"/>
          <w:szCs w:val="24"/>
          <w:lang w:eastAsia="en-GB"/>
        </w:rPr>
        <w:t> </w:t>
      </w:r>
    </w:p>
    <w:p w14:paraId="7FFCEDF8" w14:textId="158BB5E9" w:rsidR="00150085" w:rsidRPr="002B01F5" w:rsidRDefault="00150085" w:rsidP="00150085">
      <w:pPr>
        <w:ind w:firstLine="720"/>
        <w:textAlignment w:val="baseline"/>
        <w:rPr>
          <w:rFonts w:cs="Arial"/>
          <w:sz w:val="18"/>
          <w:szCs w:val="18"/>
          <w:lang w:eastAsia="en-GB"/>
        </w:rPr>
      </w:pPr>
      <w:r w:rsidRPr="002B01F5">
        <w:rPr>
          <w:rFonts w:cs="Arial"/>
          <w:szCs w:val="24"/>
          <w:lang w:eastAsia="en-GB"/>
        </w:rPr>
        <w:t>£</w:t>
      </w:r>
      <w:r>
        <w:rPr>
          <w:rFonts w:cs="Arial"/>
          <w:szCs w:val="24"/>
          <w:lang w:eastAsia="en-GB"/>
        </w:rPr>
        <w:t>147k</w:t>
      </w:r>
      <w:r w:rsidRPr="002B01F5">
        <w:rPr>
          <w:rFonts w:cs="Arial"/>
          <w:szCs w:val="24"/>
          <w:lang w:eastAsia="en-GB"/>
        </w:rPr>
        <w:t xml:space="preserve"> interest on the land value of £</w:t>
      </w:r>
      <w:r>
        <w:rPr>
          <w:rFonts w:cs="Arial"/>
          <w:szCs w:val="24"/>
          <w:lang w:eastAsia="en-GB"/>
        </w:rPr>
        <w:t>1.025m</w:t>
      </w:r>
      <w:r w:rsidRPr="002B01F5">
        <w:rPr>
          <w:rFonts w:cs="Arial"/>
          <w:szCs w:val="24"/>
          <w:lang w:eastAsia="en-GB"/>
        </w:rPr>
        <w:t> </w:t>
      </w:r>
    </w:p>
    <w:p w14:paraId="254236DC" w14:textId="77777777" w:rsidR="00150085" w:rsidRPr="002B01F5" w:rsidRDefault="00150085" w:rsidP="00150085">
      <w:pPr>
        <w:ind w:firstLine="720"/>
        <w:textAlignment w:val="baseline"/>
        <w:rPr>
          <w:rFonts w:cs="Arial"/>
          <w:sz w:val="18"/>
          <w:szCs w:val="18"/>
          <w:lang w:eastAsia="en-GB"/>
        </w:rPr>
      </w:pPr>
      <w:r w:rsidRPr="002B01F5">
        <w:rPr>
          <w:rFonts w:cs="Arial"/>
          <w:szCs w:val="24"/>
          <w:lang w:eastAsia="en-GB"/>
        </w:rPr>
        <w:t>£</w:t>
      </w:r>
      <w:r>
        <w:rPr>
          <w:rFonts w:cs="Arial"/>
          <w:szCs w:val="24"/>
          <w:lang w:eastAsia="en-GB"/>
        </w:rPr>
        <w:t>1.435</w:t>
      </w:r>
      <w:r w:rsidRPr="002B01F5">
        <w:rPr>
          <w:rFonts w:cs="Arial"/>
          <w:szCs w:val="24"/>
          <w:lang w:eastAsia="en-GB"/>
        </w:rPr>
        <w:t>m interest on the £</w:t>
      </w:r>
      <w:r>
        <w:rPr>
          <w:rFonts w:cs="Arial"/>
          <w:szCs w:val="24"/>
          <w:lang w:eastAsia="en-GB"/>
        </w:rPr>
        <w:t>9.905</w:t>
      </w:r>
      <w:r w:rsidRPr="002B01F5">
        <w:rPr>
          <w:rFonts w:cs="Arial"/>
          <w:szCs w:val="24"/>
          <w:lang w:eastAsia="en-GB"/>
        </w:rPr>
        <w:t>m investment in the HSDP.  </w:t>
      </w:r>
    </w:p>
    <w:p w14:paraId="783F61D2" w14:textId="77777777" w:rsidR="00150085" w:rsidRPr="002B01F5" w:rsidRDefault="00150085" w:rsidP="00150085">
      <w:pPr>
        <w:textAlignment w:val="baseline"/>
        <w:rPr>
          <w:rFonts w:cs="Arial"/>
          <w:sz w:val="18"/>
          <w:szCs w:val="18"/>
          <w:lang w:eastAsia="en-GB"/>
        </w:rPr>
      </w:pPr>
      <w:r w:rsidRPr="002B01F5">
        <w:rPr>
          <w:rFonts w:cs="Arial"/>
          <w:szCs w:val="24"/>
          <w:lang w:eastAsia="en-GB"/>
        </w:rPr>
        <w:t> </w:t>
      </w:r>
    </w:p>
    <w:p w14:paraId="3298B591" w14:textId="77777777" w:rsidR="00150085" w:rsidRPr="002B01F5" w:rsidRDefault="00150085" w:rsidP="00150085">
      <w:pPr>
        <w:textAlignment w:val="baseline"/>
        <w:rPr>
          <w:rFonts w:cs="Arial"/>
          <w:sz w:val="18"/>
          <w:szCs w:val="18"/>
          <w:lang w:eastAsia="en-GB"/>
        </w:rPr>
      </w:pPr>
      <w:r>
        <w:rPr>
          <w:rFonts w:cs="Arial"/>
          <w:szCs w:val="24"/>
          <w:lang w:eastAsia="en-GB"/>
        </w:rPr>
        <w:lastRenderedPageBreak/>
        <w:t xml:space="preserve">As these revenue returns are due to be received beyond the time frame of the updated MTFS (2023/24 to 2025/26) coming to December Cabinet, they will be built into the MTFS refresh process for Cabinet in December 2023. </w:t>
      </w:r>
    </w:p>
    <w:p w14:paraId="277A5451" w14:textId="77777777" w:rsidR="00150085" w:rsidRDefault="00150085" w:rsidP="00150085">
      <w:pPr>
        <w:textAlignment w:val="baseline"/>
        <w:rPr>
          <w:rFonts w:cs="Arial"/>
          <w:sz w:val="18"/>
          <w:szCs w:val="18"/>
          <w:lang w:eastAsia="en-GB"/>
        </w:rPr>
      </w:pPr>
      <w:r w:rsidRPr="002B01F5">
        <w:rPr>
          <w:rFonts w:cs="Arial"/>
          <w:szCs w:val="24"/>
          <w:lang w:eastAsia="en-GB"/>
        </w:rPr>
        <w:t> </w:t>
      </w:r>
    </w:p>
    <w:p w14:paraId="1B017CB2" w14:textId="6E0382AC" w:rsidR="00150085" w:rsidRDefault="00150085" w:rsidP="00150085">
      <w:pPr>
        <w:textAlignment w:val="baseline"/>
        <w:rPr>
          <w:rFonts w:cs="Arial"/>
          <w:szCs w:val="24"/>
          <w:lang w:eastAsia="en-GB"/>
        </w:rPr>
      </w:pPr>
      <w:r w:rsidRPr="002B01F5">
        <w:rPr>
          <w:rFonts w:cs="Arial"/>
          <w:szCs w:val="24"/>
          <w:lang w:eastAsia="en-GB"/>
        </w:rPr>
        <w:t>In addition, the model calculates that JV dividends of £</w:t>
      </w:r>
      <w:r>
        <w:rPr>
          <w:rFonts w:cs="Arial"/>
          <w:szCs w:val="24"/>
          <w:lang w:eastAsia="en-GB"/>
        </w:rPr>
        <w:t>6.234</w:t>
      </w:r>
      <w:r w:rsidRPr="002B01F5">
        <w:rPr>
          <w:rFonts w:cs="Arial"/>
          <w:szCs w:val="24"/>
          <w:lang w:eastAsia="en-GB"/>
        </w:rPr>
        <w:t xml:space="preserve">m will be received over the </w:t>
      </w:r>
      <w:r>
        <w:rPr>
          <w:rFonts w:cs="Arial"/>
          <w:szCs w:val="24"/>
          <w:lang w:eastAsia="en-GB"/>
        </w:rPr>
        <w:t>7</w:t>
      </w:r>
      <w:r w:rsidRPr="002B01F5">
        <w:rPr>
          <w:rFonts w:cs="Arial"/>
          <w:szCs w:val="24"/>
          <w:lang w:eastAsia="en-GB"/>
        </w:rPr>
        <w:t xml:space="preserve">-year period.  </w:t>
      </w:r>
      <w:r w:rsidR="00DE74BF">
        <w:rPr>
          <w:rFonts w:cs="Arial"/>
          <w:szCs w:val="24"/>
          <w:lang w:eastAsia="en-GB"/>
        </w:rPr>
        <w:t>Again,</w:t>
      </w:r>
      <w:r>
        <w:rPr>
          <w:rFonts w:cs="Arial"/>
          <w:szCs w:val="24"/>
          <w:lang w:eastAsia="en-GB"/>
        </w:rPr>
        <w:t xml:space="preserve"> these are profiled to be received beyond the updated MTFS and will be built into future iterations. </w:t>
      </w:r>
    </w:p>
    <w:p w14:paraId="17B8F500" w14:textId="2D9BC5DC" w:rsidR="007B5F67" w:rsidRDefault="007B5F67" w:rsidP="00150085">
      <w:pPr>
        <w:textAlignment w:val="baseline"/>
        <w:rPr>
          <w:rFonts w:cs="Arial"/>
          <w:szCs w:val="24"/>
          <w:lang w:eastAsia="en-GB"/>
        </w:rPr>
      </w:pPr>
    </w:p>
    <w:p w14:paraId="1229494D" w14:textId="77777777" w:rsidR="007B5F67" w:rsidRDefault="007B5F67" w:rsidP="007B5F67">
      <w:pPr>
        <w:textAlignment w:val="baseline"/>
        <w:rPr>
          <w:rFonts w:cs="Arial"/>
          <w:szCs w:val="24"/>
          <w:lang w:eastAsia="en-GB"/>
        </w:rPr>
      </w:pPr>
      <w:r>
        <w:rPr>
          <w:rFonts w:cs="Arial"/>
          <w:szCs w:val="24"/>
          <w:lang w:eastAsia="en-GB"/>
        </w:rPr>
        <w:t xml:space="preserve">The homes for private sale element of Grange Farm will be managed within the existing governance arrangements for the HSDP. </w:t>
      </w:r>
    </w:p>
    <w:p w14:paraId="07C46376" w14:textId="77777777" w:rsidR="00150085" w:rsidRDefault="00150085" w:rsidP="00150085">
      <w:pPr>
        <w:autoSpaceDE w:val="0"/>
        <w:autoSpaceDN w:val="0"/>
        <w:adjustRightInd w:val="0"/>
        <w:rPr>
          <w:color w:val="FF0000"/>
        </w:rPr>
      </w:pPr>
    </w:p>
    <w:p w14:paraId="14284EEE" w14:textId="7FEBECA9" w:rsidR="00150085" w:rsidRPr="00D221CA" w:rsidRDefault="00150085" w:rsidP="00D221CA">
      <w:pPr>
        <w:pStyle w:val="ListParagraph"/>
        <w:numPr>
          <w:ilvl w:val="0"/>
          <w:numId w:val="20"/>
        </w:numPr>
        <w:autoSpaceDE w:val="0"/>
        <w:autoSpaceDN w:val="0"/>
        <w:adjustRightInd w:val="0"/>
        <w:rPr>
          <w:b/>
          <w:bCs/>
          <w:u w:val="single"/>
        </w:rPr>
      </w:pPr>
      <w:r w:rsidRPr="00D221CA">
        <w:rPr>
          <w:b/>
          <w:bCs/>
          <w:u w:val="single"/>
        </w:rPr>
        <w:t>Grange Farm – Phase 3</w:t>
      </w:r>
    </w:p>
    <w:p w14:paraId="6968C89D" w14:textId="46B97B00" w:rsidR="00150085" w:rsidRPr="006842FB" w:rsidRDefault="00150085" w:rsidP="00150085">
      <w:pPr>
        <w:autoSpaceDE w:val="0"/>
        <w:autoSpaceDN w:val="0"/>
        <w:adjustRightInd w:val="0"/>
      </w:pPr>
      <w:r w:rsidRPr="006842FB">
        <w:t xml:space="preserve">This Cabinet report recommends Phase 3 being taken to the design and planning stage for both affordable homes and those for private market sale.  The estimated cost of this stage for the affordable homes is £466k.  Within the current 3-year Capital Programme there is a budget of £1.052m in respect of Grange Farm – Phase 3 and this budget can be used </w:t>
      </w:r>
      <w:r w:rsidR="008A1F50">
        <w:t xml:space="preserve">to </w:t>
      </w:r>
      <w:r w:rsidRPr="006842FB">
        <w:t>fund the £466k required. This capital financing costs of this budget is funded within the HRA. No further funding for this scheme will be included in the refresh of the Capital Programme until a viable Business Plan has been agreed. The table below summarises the capital requirements:</w:t>
      </w:r>
    </w:p>
    <w:p w14:paraId="73E52C2A" w14:textId="77777777" w:rsidR="00150085" w:rsidRPr="006842FB" w:rsidRDefault="00150085" w:rsidP="00150085">
      <w:pPr>
        <w:autoSpaceDE w:val="0"/>
        <w:autoSpaceDN w:val="0"/>
        <w:adjustRightInd w:val="0"/>
      </w:pPr>
    </w:p>
    <w:p w14:paraId="39DC2E23" w14:textId="77777777" w:rsidR="00150085" w:rsidRPr="006842FB" w:rsidRDefault="00150085" w:rsidP="00150085">
      <w:pPr>
        <w:autoSpaceDE w:val="0"/>
        <w:autoSpaceDN w:val="0"/>
        <w:adjustRightInd w:val="0"/>
      </w:pPr>
      <w:r w:rsidRPr="006842FB">
        <w:rPr>
          <w:noProof/>
        </w:rPr>
        <w:drawing>
          <wp:inline distT="0" distB="0" distL="0" distR="0" wp14:anchorId="5E93F4C8" wp14:editId="6D22869A">
            <wp:extent cx="5276215" cy="773430"/>
            <wp:effectExtent l="0" t="0" r="63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215" cy="773430"/>
                    </a:xfrm>
                    <a:prstGeom prst="rect">
                      <a:avLst/>
                    </a:prstGeom>
                    <a:noFill/>
                    <a:ln>
                      <a:noFill/>
                    </a:ln>
                  </pic:spPr>
                </pic:pic>
              </a:graphicData>
            </a:graphic>
          </wp:inline>
        </w:drawing>
      </w:r>
    </w:p>
    <w:p w14:paraId="4EE2B753" w14:textId="77777777" w:rsidR="00150085" w:rsidRDefault="00150085" w:rsidP="00150085">
      <w:pPr>
        <w:spacing w:before="240"/>
        <w:rPr>
          <w:bCs/>
          <w:szCs w:val="24"/>
        </w:rPr>
      </w:pPr>
      <w:r>
        <w:rPr>
          <w:bCs/>
          <w:szCs w:val="24"/>
        </w:rPr>
        <w:t>In respect of planning and design fees for those homes for private market sale, the fees are estimated at £830k. This will be funded from the budget already in the Capital Programme – Regeneration – ‘Investment in 3 core sites.’</w:t>
      </w:r>
    </w:p>
    <w:p w14:paraId="3CC33848" w14:textId="32B3F35F" w:rsidR="00150085" w:rsidRPr="00150085" w:rsidRDefault="00EA3893" w:rsidP="006842FB">
      <w:pPr>
        <w:spacing w:before="240"/>
      </w:pPr>
      <w:r>
        <w:rPr>
          <w:bCs/>
          <w:szCs w:val="24"/>
        </w:rPr>
        <w:t>If Phase 3 should not progress t</w:t>
      </w:r>
      <w:r w:rsidR="00150085">
        <w:rPr>
          <w:bCs/>
          <w:szCs w:val="24"/>
        </w:rPr>
        <w:t>he £1.296m of design and planning fees will be at risk of being classed as abortive</w:t>
      </w:r>
      <w:r w:rsidR="00E17F55">
        <w:rPr>
          <w:bCs/>
          <w:szCs w:val="24"/>
        </w:rPr>
        <w:t xml:space="preserve">. This could be dealt with by a reduction on the Council’s </w:t>
      </w:r>
      <w:r w:rsidR="00056510">
        <w:rPr>
          <w:bCs/>
          <w:szCs w:val="24"/>
        </w:rPr>
        <w:t xml:space="preserve">return </w:t>
      </w:r>
      <w:r w:rsidR="00830440">
        <w:rPr>
          <w:bCs/>
          <w:szCs w:val="24"/>
        </w:rPr>
        <w:t xml:space="preserve">on other schemes or in the final analysis could be </w:t>
      </w:r>
      <w:r w:rsidR="00150085">
        <w:rPr>
          <w:bCs/>
          <w:szCs w:val="24"/>
        </w:rPr>
        <w:t xml:space="preserve">subject to write back to revenue (HRA and General Fund) if Phase 3 does not progress. </w:t>
      </w:r>
    </w:p>
    <w:p w14:paraId="41D80CF8" w14:textId="70C74D28" w:rsidR="00333FAA" w:rsidRDefault="008C2EAF" w:rsidP="008C2EAF">
      <w:pPr>
        <w:pStyle w:val="Heading3"/>
        <w:spacing w:before="480" w:after="240"/>
      </w:pPr>
      <w:r>
        <w:t>2.1</w:t>
      </w:r>
      <w:r w:rsidR="00DD1436">
        <w:t>3</w:t>
      </w:r>
      <w:r>
        <w:t xml:space="preserve">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242EA68C" w14:textId="305A2744" w:rsidR="00A105AB" w:rsidRDefault="006018E1" w:rsidP="00142645">
      <w:pPr>
        <w:pStyle w:val="TableParagraph"/>
        <w:rPr>
          <w:sz w:val="24"/>
          <w:szCs w:val="24"/>
        </w:rPr>
      </w:pPr>
      <w:r w:rsidRPr="00397646">
        <w:rPr>
          <w:sz w:val="24"/>
          <w:szCs w:val="24"/>
        </w:rPr>
        <w:t xml:space="preserve">An Equalities Impact assessment was undertaken at the start of the Grange </w:t>
      </w:r>
      <w:r w:rsidR="00927C09">
        <w:rPr>
          <w:sz w:val="24"/>
          <w:szCs w:val="24"/>
        </w:rPr>
        <w:t>F</w:t>
      </w:r>
      <w:r w:rsidRPr="00397646">
        <w:rPr>
          <w:sz w:val="24"/>
          <w:szCs w:val="24"/>
        </w:rPr>
        <w:t xml:space="preserve">arm regeneration </w:t>
      </w:r>
      <w:r w:rsidR="00BE49E1" w:rsidRPr="00397646">
        <w:rPr>
          <w:sz w:val="24"/>
          <w:szCs w:val="24"/>
        </w:rPr>
        <w:t xml:space="preserve">project </w:t>
      </w:r>
      <w:r w:rsidR="00453F34" w:rsidRPr="00397646">
        <w:rPr>
          <w:sz w:val="24"/>
          <w:szCs w:val="24"/>
        </w:rPr>
        <w:t xml:space="preserve">in 2016, </w:t>
      </w:r>
      <w:r w:rsidR="00BE49E1" w:rsidRPr="00397646">
        <w:rPr>
          <w:sz w:val="24"/>
          <w:szCs w:val="24"/>
        </w:rPr>
        <w:t xml:space="preserve">based on a housing needs assessment carried out in 2014. The assessment </w:t>
      </w:r>
      <w:r w:rsidR="00872AF7" w:rsidRPr="00397646">
        <w:rPr>
          <w:sz w:val="24"/>
          <w:szCs w:val="24"/>
        </w:rPr>
        <w:t>concluded that while there was a risk that the regeneration of the estate could potentially have a disproportionate adverse impact on those existing residents who share the protected characteristics of age and disability due to the disruption of having to move, the evidence showed that the greater likelihood was that the impact on these protected characteristics would be positive because the regeneration project will result in a better mix of affordable rented dwellings than currently exist including one, two, three and four bedroom homes</w:t>
      </w:r>
      <w:r w:rsidR="00B43403" w:rsidRPr="00397646">
        <w:rPr>
          <w:sz w:val="24"/>
          <w:szCs w:val="24"/>
        </w:rPr>
        <w:t>, 10% of which would be wheelchair accessible</w:t>
      </w:r>
      <w:r w:rsidR="00A459B9" w:rsidRPr="00397646">
        <w:rPr>
          <w:sz w:val="24"/>
          <w:szCs w:val="24"/>
        </w:rPr>
        <w:t>.</w:t>
      </w:r>
      <w:r w:rsidR="001A308C" w:rsidRPr="00397646">
        <w:rPr>
          <w:sz w:val="24"/>
          <w:szCs w:val="24"/>
        </w:rPr>
        <w:t xml:space="preserve"> </w:t>
      </w:r>
      <w:r w:rsidR="00135DEA" w:rsidRPr="00397646">
        <w:rPr>
          <w:sz w:val="24"/>
          <w:szCs w:val="24"/>
        </w:rPr>
        <w:t xml:space="preserve">Additional </w:t>
      </w:r>
      <w:r w:rsidR="00D7496D" w:rsidRPr="00397646">
        <w:rPr>
          <w:sz w:val="24"/>
          <w:szCs w:val="24"/>
        </w:rPr>
        <w:t>assistance</w:t>
      </w:r>
      <w:r w:rsidR="00D7496D" w:rsidRPr="00397646">
        <w:rPr>
          <w:spacing w:val="12"/>
          <w:sz w:val="24"/>
          <w:szCs w:val="24"/>
        </w:rPr>
        <w:t xml:space="preserve"> </w:t>
      </w:r>
      <w:r w:rsidR="00D7496D" w:rsidRPr="00397646">
        <w:rPr>
          <w:sz w:val="24"/>
          <w:szCs w:val="24"/>
        </w:rPr>
        <w:t>w</w:t>
      </w:r>
      <w:r w:rsidR="00EA4C22" w:rsidRPr="00397646">
        <w:rPr>
          <w:sz w:val="24"/>
          <w:szCs w:val="24"/>
        </w:rPr>
        <w:t>ould</w:t>
      </w:r>
      <w:r w:rsidR="00D7496D" w:rsidRPr="00397646">
        <w:rPr>
          <w:spacing w:val="-13"/>
          <w:sz w:val="24"/>
          <w:szCs w:val="24"/>
        </w:rPr>
        <w:t xml:space="preserve"> </w:t>
      </w:r>
      <w:r w:rsidR="00D7496D" w:rsidRPr="00397646">
        <w:rPr>
          <w:sz w:val="24"/>
          <w:szCs w:val="24"/>
        </w:rPr>
        <w:t>be</w:t>
      </w:r>
      <w:r w:rsidR="00D7496D" w:rsidRPr="00397646">
        <w:rPr>
          <w:spacing w:val="1"/>
          <w:sz w:val="24"/>
          <w:szCs w:val="24"/>
        </w:rPr>
        <w:t xml:space="preserve"> </w:t>
      </w:r>
      <w:r w:rsidR="00D7496D" w:rsidRPr="00397646">
        <w:rPr>
          <w:sz w:val="24"/>
          <w:szCs w:val="24"/>
        </w:rPr>
        <w:t>provided to</w:t>
      </w:r>
      <w:r w:rsidR="00D7496D" w:rsidRPr="00397646">
        <w:rPr>
          <w:spacing w:val="-1"/>
          <w:sz w:val="24"/>
          <w:szCs w:val="24"/>
        </w:rPr>
        <w:t xml:space="preserve"> </w:t>
      </w:r>
      <w:r w:rsidR="00D7496D" w:rsidRPr="00397646">
        <w:rPr>
          <w:sz w:val="24"/>
          <w:szCs w:val="24"/>
        </w:rPr>
        <w:t>vulnerable</w:t>
      </w:r>
      <w:r w:rsidR="00D7496D" w:rsidRPr="00397646">
        <w:rPr>
          <w:spacing w:val="13"/>
          <w:sz w:val="24"/>
          <w:szCs w:val="24"/>
        </w:rPr>
        <w:t xml:space="preserve"> </w:t>
      </w:r>
      <w:r w:rsidR="00D7496D" w:rsidRPr="00397646">
        <w:rPr>
          <w:sz w:val="24"/>
          <w:szCs w:val="24"/>
        </w:rPr>
        <w:lastRenderedPageBreak/>
        <w:t>residents</w:t>
      </w:r>
      <w:r w:rsidR="00D7496D" w:rsidRPr="00397646">
        <w:rPr>
          <w:spacing w:val="2"/>
          <w:sz w:val="24"/>
          <w:szCs w:val="24"/>
        </w:rPr>
        <w:t xml:space="preserve"> </w:t>
      </w:r>
      <w:r w:rsidR="00D7496D" w:rsidRPr="00397646">
        <w:rPr>
          <w:sz w:val="24"/>
          <w:szCs w:val="24"/>
        </w:rPr>
        <w:t>including</w:t>
      </w:r>
      <w:r w:rsidR="00D7496D" w:rsidRPr="00397646">
        <w:rPr>
          <w:spacing w:val="-1"/>
          <w:sz w:val="24"/>
          <w:szCs w:val="24"/>
        </w:rPr>
        <w:t xml:space="preserve"> </w:t>
      </w:r>
      <w:r w:rsidR="00D7496D" w:rsidRPr="00397646">
        <w:rPr>
          <w:sz w:val="24"/>
          <w:szCs w:val="24"/>
        </w:rPr>
        <w:t>older</w:t>
      </w:r>
      <w:r w:rsidR="00D7496D" w:rsidRPr="00397646">
        <w:rPr>
          <w:spacing w:val="-7"/>
          <w:sz w:val="24"/>
          <w:szCs w:val="24"/>
        </w:rPr>
        <w:t xml:space="preserve"> </w:t>
      </w:r>
      <w:r w:rsidR="00D7496D" w:rsidRPr="00397646">
        <w:rPr>
          <w:sz w:val="24"/>
          <w:szCs w:val="24"/>
        </w:rPr>
        <w:t>people and</w:t>
      </w:r>
      <w:r w:rsidR="00D7496D" w:rsidRPr="00397646">
        <w:rPr>
          <w:spacing w:val="1"/>
          <w:sz w:val="24"/>
          <w:szCs w:val="24"/>
        </w:rPr>
        <w:t xml:space="preserve"> </w:t>
      </w:r>
      <w:r w:rsidR="00D7496D" w:rsidRPr="00397646">
        <w:rPr>
          <w:sz w:val="24"/>
          <w:szCs w:val="24"/>
        </w:rPr>
        <w:t>people with disabilities to help them with the mov</w:t>
      </w:r>
      <w:r w:rsidR="00EA4C22" w:rsidRPr="00397646">
        <w:rPr>
          <w:sz w:val="24"/>
          <w:szCs w:val="24"/>
        </w:rPr>
        <w:t xml:space="preserve">ing process. </w:t>
      </w:r>
    </w:p>
    <w:p w14:paraId="524B1750" w14:textId="08AD6257" w:rsidR="00A105AB" w:rsidRDefault="00A105AB" w:rsidP="00142645">
      <w:pPr>
        <w:pStyle w:val="TableParagraph"/>
        <w:rPr>
          <w:sz w:val="24"/>
          <w:szCs w:val="24"/>
        </w:rPr>
      </w:pPr>
    </w:p>
    <w:p w14:paraId="4B1039B6" w14:textId="2EED4748" w:rsidR="006018E1" w:rsidRPr="00F1216A" w:rsidRDefault="006C2992" w:rsidP="00142645">
      <w:pPr>
        <w:pStyle w:val="TableParagraph"/>
        <w:rPr>
          <w:sz w:val="24"/>
          <w:szCs w:val="24"/>
        </w:rPr>
      </w:pPr>
      <w:r w:rsidRPr="00F1216A">
        <w:rPr>
          <w:sz w:val="24"/>
          <w:szCs w:val="24"/>
        </w:rPr>
        <w:t xml:space="preserve">A new and updated Equalities Impact assessment has been carried out at this time and is attached as Appendix </w:t>
      </w:r>
      <w:r w:rsidR="00DE74BF" w:rsidRPr="00F1216A">
        <w:rPr>
          <w:sz w:val="24"/>
          <w:szCs w:val="24"/>
        </w:rPr>
        <w:t>‘4</w:t>
      </w:r>
      <w:r w:rsidRPr="00F1216A">
        <w:rPr>
          <w:sz w:val="24"/>
          <w:szCs w:val="24"/>
        </w:rPr>
        <w:t>‘.</w:t>
      </w:r>
      <w:r w:rsidR="00EB165D" w:rsidRPr="00F1216A">
        <w:rPr>
          <w:sz w:val="24"/>
          <w:szCs w:val="24"/>
        </w:rPr>
        <w:t xml:space="preserve"> </w:t>
      </w:r>
      <w:r w:rsidR="00CC4556" w:rsidRPr="00F1216A">
        <w:rPr>
          <w:sz w:val="24"/>
          <w:szCs w:val="24"/>
        </w:rPr>
        <w:t xml:space="preserve">This </w:t>
      </w:r>
      <w:r w:rsidR="00636640" w:rsidRPr="00F1216A">
        <w:rPr>
          <w:sz w:val="24"/>
          <w:szCs w:val="24"/>
        </w:rPr>
        <w:t>reaches the same conclusion. Negative impacts are related to the moving process</w:t>
      </w:r>
      <w:r w:rsidR="00B91C6F" w:rsidRPr="00F1216A">
        <w:rPr>
          <w:sz w:val="24"/>
          <w:szCs w:val="24"/>
        </w:rPr>
        <w:t xml:space="preserve"> and are mitigated through the additional assistance, including financial compensation, provided by the council.</w:t>
      </w:r>
      <w:r w:rsidR="00C95F1C" w:rsidRPr="00F1216A">
        <w:rPr>
          <w:sz w:val="24"/>
          <w:szCs w:val="24"/>
        </w:rPr>
        <w:t xml:space="preserve"> Th</w:t>
      </w:r>
      <w:r w:rsidR="00E2567C" w:rsidRPr="00F1216A">
        <w:rPr>
          <w:sz w:val="24"/>
          <w:szCs w:val="24"/>
        </w:rPr>
        <w:t>e</w:t>
      </w:r>
      <w:r w:rsidR="00C95F1C" w:rsidRPr="00F1216A">
        <w:rPr>
          <w:sz w:val="24"/>
          <w:szCs w:val="24"/>
        </w:rPr>
        <w:t xml:space="preserve"> provision of new</w:t>
      </w:r>
      <w:r w:rsidR="00663D1F" w:rsidRPr="00F1216A">
        <w:rPr>
          <w:sz w:val="24"/>
          <w:szCs w:val="24"/>
        </w:rPr>
        <w:t xml:space="preserve">, energy efficient </w:t>
      </w:r>
      <w:r w:rsidR="00E2567C" w:rsidRPr="00F1216A">
        <w:rPr>
          <w:sz w:val="24"/>
          <w:szCs w:val="24"/>
        </w:rPr>
        <w:t xml:space="preserve">affordable </w:t>
      </w:r>
      <w:r w:rsidR="00663D1F" w:rsidRPr="00F1216A">
        <w:rPr>
          <w:sz w:val="24"/>
          <w:szCs w:val="24"/>
        </w:rPr>
        <w:t xml:space="preserve">housing </w:t>
      </w:r>
      <w:r w:rsidR="00E2567C" w:rsidRPr="00F1216A">
        <w:rPr>
          <w:sz w:val="24"/>
          <w:szCs w:val="24"/>
        </w:rPr>
        <w:t>has a positive impact for a number of protected characteristics</w:t>
      </w:r>
      <w:r w:rsidR="00A15711" w:rsidRPr="00F1216A">
        <w:rPr>
          <w:sz w:val="24"/>
          <w:szCs w:val="24"/>
        </w:rPr>
        <w:t xml:space="preserve"> both </w:t>
      </w:r>
      <w:r w:rsidR="007B317A">
        <w:rPr>
          <w:sz w:val="24"/>
          <w:szCs w:val="24"/>
        </w:rPr>
        <w:t xml:space="preserve">for </w:t>
      </w:r>
      <w:r w:rsidR="00A15711" w:rsidRPr="00F1216A">
        <w:rPr>
          <w:sz w:val="24"/>
          <w:szCs w:val="24"/>
        </w:rPr>
        <w:t xml:space="preserve">existing residents and for future residents. The scheme also </w:t>
      </w:r>
      <w:r w:rsidR="00193B1C" w:rsidRPr="00F1216A">
        <w:rPr>
          <w:sz w:val="24"/>
          <w:szCs w:val="24"/>
        </w:rPr>
        <w:t xml:space="preserve">meets the Public Sector Equality duty. </w:t>
      </w:r>
      <w:r w:rsidR="006B6BCE" w:rsidRPr="00F1216A">
        <w:rPr>
          <w:sz w:val="24"/>
          <w:szCs w:val="24"/>
        </w:rPr>
        <w:t>Modern housing and amenities will support equality of opportunity and better outcomes for residents of the estate and the local area. The resident engagement and involvement on this project foster good relations between residents from different groups. The council is working with voluntary sector partners to support them providing community activities particularly aimed at supporting children of all ages as well as providing services to assist with food poverty and engaging teenagers. The resident community is very diverse and cohesive and their vision for the new community is to continue being open and inclusive to all.</w:t>
      </w:r>
    </w:p>
    <w:p w14:paraId="5EA9473E" w14:textId="77777777" w:rsidR="006018E1" w:rsidRPr="00A105AB" w:rsidRDefault="006018E1" w:rsidP="006018E1">
      <w:pPr>
        <w:rPr>
          <w:szCs w:val="24"/>
        </w:rPr>
      </w:pPr>
    </w:p>
    <w:p w14:paraId="2046E9C6" w14:textId="0C47E8B9" w:rsidR="00505737" w:rsidRPr="00F1216A" w:rsidRDefault="00505737" w:rsidP="00505737">
      <w:pPr>
        <w:rPr>
          <w:szCs w:val="24"/>
        </w:rPr>
      </w:pPr>
      <w:r w:rsidRPr="00F1216A">
        <w:rPr>
          <w:szCs w:val="24"/>
        </w:rPr>
        <w:t xml:space="preserve">For the </w:t>
      </w:r>
      <w:r w:rsidR="001D70C1" w:rsidRPr="00F1216A">
        <w:rPr>
          <w:szCs w:val="24"/>
        </w:rPr>
        <w:t>rest of the HSDP schemes a further detailed and updated Equalities Impact Assessment will be completed and will accompany each phase Business Plan as they return to Cabinet.</w:t>
      </w:r>
    </w:p>
    <w:p w14:paraId="5514D939" w14:textId="77777777" w:rsidR="00333FAA" w:rsidRDefault="00333FAA" w:rsidP="000B7C66">
      <w:pPr>
        <w:pStyle w:val="Heading2"/>
        <w:spacing w:before="480" w:after="240"/>
      </w:pPr>
      <w:r>
        <w:t>Section 3 - Statutory Officer Clearance</w:t>
      </w:r>
    </w:p>
    <w:p w14:paraId="3B5D52F9" w14:textId="5F050FB9" w:rsidR="00A66326" w:rsidRPr="00A66326" w:rsidRDefault="00A66326" w:rsidP="00A66326">
      <w:pPr>
        <w:rPr>
          <w:sz w:val="28"/>
        </w:rPr>
      </w:pPr>
      <w:r w:rsidRPr="00A66326">
        <w:rPr>
          <w:b/>
          <w:sz w:val="28"/>
        </w:rPr>
        <w:t xml:space="preserve">Statutory Officer:  </w:t>
      </w:r>
      <w:r w:rsidR="00E51E1A">
        <w:rPr>
          <w:b/>
          <w:sz w:val="28"/>
        </w:rPr>
        <w:t>Dawn Calvert</w:t>
      </w:r>
    </w:p>
    <w:p w14:paraId="06450070" w14:textId="26058414" w:rsidR="00A66326" w:rsidRPr="00A66326" w:rsidRDefault="00A66326" w:rsidP="00A66326">
      <w:r w:rsidRPr="00A66326">
        <w:t>Signed by the Chief Financial Officer</w:t>
      </w:r>
    </w:p>
    <w:p w14:paraId="555021EF" w14:textId="729D73A0" w:rsidR="00A66326" w:rsidRPr="00A66326" w:rsidRDefault="00A66326" w:rsidP="00A66326">
      <w:pPr>
        <w:spacing w:after="480"/>
        <w:rPr>
          <w:sz w:val="28"/>
        </w:rPr>
      </w:pPr>
      <w:r w:rsidRPr="00A66326">
        <w:rPr>
          <w:b/>
          <w:sz w:val="28"/>
        </w:rPr>
        <w:t xml:space="preserve">Date:  </w:t>
      </w:r>
      <w:r w:rsidR="00E51E1A">
        <w:rPr>
          <w:b/>
          <w:sz w:val="28"/>
        </w:rPr>
        <w:t>31/10/2022</w:t>
      </w:r>
    </w:p>
    <w:p w14:paraId="7E329E85" w14:textId="1B6B1DED" w:rsidR="00A66326" w:rsidRPr="00A66326" w:rsidRDefault="00A66326" w:rsidP="00A66326">
      <w:pPr>
        <w:rPr>
          <w:sz w:val="28"/>
        </w:rPr>
      </w:pPr>
      <w:r w:rsidRPr="00A66326">
        <w:rPr>
          <w:b/>
          <w:sz w:val="28"/>
        </w:rPr>
        <w:t xml:space="preserve">Statutory Officer:  </w:t>
      </w:r>
      <w:r w:rsidR="00E51E1A">
        <w:rPr>
          <w:b/>
          <w:sz w:val="28"/>
        </w:rPr>
        <w:t>Stephen Dorrian</w:t>
      </w:r>
    </w:p>
    <w:p w14:paraId="76F84634" w14:textId="5365B723" w:rsidR="00A66326" w:rsidRPr="00A66326" w:rsidRDefault="00A66326" w:rsidP="00A66326">
      <w:r w:rsidRPr="00A66326">
        <w:t>Signed on behalf of the Monitoring Officer</w:t>
      </w:r>
    </w:p>
    <w:p w14:paraId="1AC0D358" w14:textId="1F637330" w:rsidR="00A66326" w:rsidRPr="003313EA" w:rsidRDefault="00A66326" w:rsidP="00A66326">
      <w:pPr>
        <w:spacing w:after="480"/>
        <w:rPr>
          <w:sz w:val="28"/>
        </w:rPr>
      </w:pPr>
      <w:r w:rsidRPr="00A66326">
        <w:rPr>
          <w:b/>
          <w:sz w:val="28"/>
        </w:rPr>
        <w:t xml:space="preserve">Date:  </w:t>
      </w:r>
      <w:r w:rsidR="00E51E1A">
        <w:rPr>
          <w:b/>
          <w:sz w:val="28"/>
        </w:rPr>
        <w:t>31/10/2022</w:t>
      </w:r>
    </w:p>
    <w:p w14:paraId="72788CD7" w14:textId="27FDF396" w:rsidR="00A66326" w:rsidRPr="003313EA" w:rsidRDefault="00A66326" w:rsidP="00A66326">
      <w:pPr>
        <w:rPr>
          <w:sz w:val="28"/>
        </w:rPr>
      </w:pPr>
      <w:r w:rsidRPr="00A66326">
        <w:rPr>
          <w:b/>
          <w:sz w:val="28"/>
        </w:rPr>
        <w:t xml:space="preserve">Statutory Officer:  </w:t>
      </w:r>
      <w:r w:rsidR="00E51E1A">
        <w:rPr>
          <w:b/>
          <w:sz w:val="28"/>
        </w:rPr>
        <w:t>Nimesh Mehta</w:t>
      </w:r>
    </w:p>
    <w:p w14:paraId="15C004F3" w14:textId="3B0136A4" w:rsidR="00A66326" w:rsidRPr="003313EA" w:rsidRDefault="00A66326" w:rsidP="00A66326">
      <w:r w:rsidRPr="003313EA">
        <w:t>Signed by the Head of Procurement</w:t>
      </w:r>
    </w:p>
    <w:p w14:paraId="7C58F35B" w14:textId="0CD049E8" w:rsidR="00A66326" w:rsidRPr="00A66326" w:rsidRDefault="00A66326" w:rsidP="00A66326">
      <w:pPr>
        <w:spacing w:after="480"/>
        <w:rPr>
          <w:sz w:val="28"/>
        </w:rPr>
      </w:pPr>
      <w:r w:rsidRPr="00A66326">
        <w:rPr>
          <w:b/>
          <w:sz w:val="28"/>
        </w:rPr>
        <w:t xml:space="preserve">Date:  </w:t>
      </w:r>
      <w:r w:rsidR="00E51E1A">
        <w:rPr>
          <w:b/>
          <w:sz w:val="28"/>
        </w:rPr>
        <w:t>31/10/2022</w:t>
      </w:r>
    </w:p>
    <w:p w14:paraId="7B7CECF4" w14:textId="4FD20D3D" w:rsidR="00A66326" w:rsidRPr="00A66326" w:rsidRDefault="00A66326" w:rsidP="00A66326">
      <w:pPr>
        <w:rPr>
          <w:sz w:val="28"/>
        </w:rPr>
      </w:pPr>
      <w:r w:rsidRPr="00A66326">
        <w:rPr>
          <w:b/>
          <w:sz w:val="28"/>
        </w:rPr>
        <w:t xml:space="preserve">Statutory Officer:  </w:t>
      </w:r>
      <w:r w:rsidR="00E51E1A">
        <w:rPr>
          <w:b/>
          <w:sz w:val="28"/>
        </w:rPr>
        <w:t>Dipti Patel</w:t>
      </w:r>
    </w:p>
    <w:p w14:paraId="029B596F" w14:textId="77777777" w:rsidR="00A66326" w:rsidRPr="00A66326" w:rsidRDefault="00F51E01" w:rsidP="00A66326">
      <w:r>
        <w:t>Signed</w:t>
      </w:r>
      <w:r w:rsidR="00A66326" w:rsidRPr="00A66326">
        <w:t xml:space="preserve"> by the Corporate Director</w:t>
      </w:r>
    </w:p>
    <w:p w14:paraId="74DFB7F8" w14:textId="038B5DF1" w:rsidR="00A66326" w:rsidRDefault="00A66326" w:rsidP="00A66326">
      <w:pPr>
        <w:spacing w:after="480"/>
        <w:rPr>
          <w:b/>
          <w:sz w:val="28"/>
        </w:rPr>
      </w:pPr>
      <w:r w:rsidRPr="00A66326">
        <w:rPr>
          <w:b/>
          <w:sz w:val="28"/>
        </w:rPr>
        <w:t xml:space="preserve">Date:  </w:t>
      </w:r>
      <w:r w:rsidR="00E51E1A">
        <w:rPr>
          <w:b/>
          <w:sz w:val="28"/>
        </w:rPr>
        <w:t>31/10/2022</w:t>
      </w:r>
    </w:p>
    <w:p w14:paraId="67BBAB33" w14:textId="55806FC8" w:rsidR="00506185" w:rsidRPr="00A66326" w:rsidRDefault="00506185" w:rsidP="00506185">
      <w:pPr>
        <w:rPr>
          <w:sz w:val="28"/>
        </w:rPr>
      </w:pPr>
      <w:r w:rsidRPr="00A66326">
        <w:rPr>
          <w:b/>
          <w:sz w:val="28"/>
        </w:rPr>
        <w:t xml:space="preserve">Statutory Officer:  </w:t>
      </w:r>
      <w:r w:rsidR="00E51E1A">
        <w:rPr>
          <w:b/>
          <w:sz w:val="28"/>
        </w:rPr>
        <w:t>Susan Dixon</w:t>
      </w:r>
    </w:p>
    <w:p w14:paraId="1A54F52A" w14:textId="3366A6F2" w:rsidR="00506185" w:rsidRPr="003313EA" w:rsidRDefault="00506185" w:rsidP="00506185">
      <w:r w:rsidRPr="003313EA">
        <w:t xml:space="preserve">Signed by the Head of </w:t>
      </w:r>
      <w:r>
        <w:t>Internal Audit</w:t>
      </w:r>
    </w:p>
    <w:p w14:paraId="069350BA" w14:textId="2D56279E" w:rsidR="00506185" w:rsidRPr="00A66326" w:rsidRDefault="00506185" w:rsidP="00506185">
      <w:pPr>
        <w:spacing w:after="480"/>
        <w:rPr>
          <w:sz w:val="28"/>
        </w:rPr>
      </w:pPr>
      <w:r w:rsidRPr="00A66326">
        <w:rPr>
          <w:b/>
          <w:sz w:val="28"/>
        </w:rPr>
        <w:t xml:space="preserve">Date:  </w:t>
      </w:r>
      <w:r w:rsidR="00E51E1A">
        <w:rPr>
          <w:b/>
          <w:sz w:val="28"/>
        </w:rPr>
        <w:t>31/10/2022</w:t>
      </w:r>
    </w:p>
    <w:p w14:paraId="45A19EC7" w14:textId="77777777" w:rsidR="003313EA" w:rsidRPr="00435B5D" w:rsidRDefault="003313EA" w:rsidP="003313EA">
      <w:pPr>
        <w:pStyle w:val="Heading2"/>
        <w:spacing w:after="240"/>
      </w:pPr>
      <w:r>
        <w:lastRenderedPageBreak/>
        <w:t>Mandatory Checks</w:t>
      </w:r>
    </w:p>
    <w:p w14:paraId="64551188" w14:textId="2D3DE192" w:rsidR="003313EA" w:rsidRPr="00A406F3" w:rsidRDefault="003313EA" w:rsidP="003313EA">
      <w:pPr>
        <w:pStyle w:val="Heading3"/>
        <w:ind w:left="0" w:firstLine="0"/>
        <w:jc w:val="left"/>
      </w:pPr>
      <w:r w:rsidRPr="003313EA">
        <w:t xml:space="preserve">Ward Councillors </w:t>
      </w:r>
      <w:r>
        <w:t xml:space="preserve">notified:  </w:t>
      </w:r>
      <w:r w:rsidRPr="00A406F3">
        <w:t>YES</w:t>
      </w:r>
      <w:r w:rsidR="00900E0A">
        <w:t xml:space="preserve"> – </w:t>
      </w:r>
      <w:r w:rsidR="00900E0A" w:rsidRPr="00900E0A">
        <w:rPr>
          <w:b w:val="0"/>
          <w:bCs w:val="0"/>
        </w:rPr>
        <w:t>for Grange Farm</w:t>
      </w:r>
      <w:r w:rsidRPr="00A406F3">
        <w:t xml:space="preserve"> </w:t>
      </w:r>
    </w:p>
    <w:p w14:paraId="2E8E750F" w14:textId="4FA87B1A" w:rsidR="003313EA" w:rsidRPr="003313EA" w:rsidRDefault="003313EA" w:rsidP="00A53B04">
      <w:pPr>
        <w:pStyle w:val="Infotext"/>
        <w:rPr>
          <w:i/>
          <w:color w:val="FF0000"/>
          <w:sz w:val="24"/>
          <w:szCs w:val="24"/>
        </w:rPr>
      </w:pPr>
      <w:r w:rsidRPr="003313EA">
        <w:rPr>
          <w:i/>
          <w:color w:val="FF0000"/>
          <w:sz w:val="24"/>
          <w:szCs w:val="24"/>
        </w:rPr>
        <w:t xml:space="preserve"> </w:t>
      </w:r>
    </w:p>
    <w:p w14:paraId="2A2D9472" w14:textId="7539AE68" w:rsidR="003313EA" w:rsidRPr="00202D79" w:rsidRDefault="003313EA" w:rsidP="003313EA">
      <w:pPr>
        <w:pStyle w:val="Heading3"/>
        <w:spacing w:before="240"/>
        <w:rPr>
          <w:b w:val="0"/>
        </w:rPr>
      </w:pPr>
      <w:r w:rsidRPr="00202D79">
        <w:t>EqIA carried out:</w:t>
      </w:r>
      <w:r>
        <w:t xml:space="preserve">  </w:t>
      </w:r>
      <w:r w:rsidRPr="00202D79">
        <w:t>YES</w:t>
      </w:r>
    </w:p>
    <w:p w14:paraId="144D0F82" w14:textId="1C8199FF" w:rsidR="003313EA" w:rsidRDefault="00697D54" w:rsidP="00D9361F">
      <w:pPr>
        <w:pStyle w:val="Infotext"/>
        <w:rPr>
          <w:iCs/>
          <w:sz w:val="24"/>
          <w:szCs w:val="24"/>
        </w:rPr>
      </w:pPr>
      <w:r>
        <w:rPr>
          <w:iCs/>
          <w:sz w:val="24"/>
          <w:szCs w:val="24"/>
        </w:rPr>
        <w:t>An EqIA has been carried out for the Grange Farm estate re</w:t>
      </w:r>
      <w:r w:rsidR="00FC2390">
        <w:rPr>
          <w:iCs/>
          <w:sz w:val="24"/>
          <w:szCs w:val="24"/>
        </w:rPr>
        <w:t xml:space="preserve">generation and its’ proposed inclusion in the sites of the HSDP. It is attached as </w:t>
      </w:r>
      <w:r w:rsidR="00BF13BE">
        <w:rPr>
          <w:iCs/>
          <w:sz w:val="24"/>
          <w:szCs w:val="24"/>
        </w:rPr>
        <w:t>Appendix ‘</w:t>
      </w:r>
      <w:r w:rsidR="00FA59F4">
        <w:rPr>
          <w:iCs/>
          <w:sz w:val="24"/>
          <w:szCs w:val="24"/>
        </w:rPr>
        <w:t>4</w:t>
      </w:r>
      <w:r w:rsidR="00BF13BE">
        <w:rPr>
          <w:iCs/>
          <w:sz w:val="24"/>
          <w:szCs w:val="24"/>
        </w:rPr>
        <w:t>’</w:t>
      </w:r>
    </w:p>
    <w:p w14:paraId="16F6E999" w14:textId="196C5DAA" w:rsidR="0017302C" w:rsidRDefault="0017302C" w:rsidP="00D9361F">
      <w:pPr>
        <w:pStyle w:val="Infotext"/>
        <w:rPr>
          <w:iCs/>
          <w:sz w:val="24"/>
          <w:szCs w:val="24"/>
        </w:rPr>
      </w:pPr>
    </w:p>
    <w:p w14:paraId="6D51F662" w14:textId="3DEB6996" w:rsidR="0017302C" w:rsidRPr="00697D54" w:rsidRDefault="0017302C" w:rsidP="00D9361F">
      <w:pPr>
        <w:pStyle w:val="Infotext"/>
        <w:rPr>
          <w:iCs/>
        </w:rPr>
      </w:pPr>
      <w:r>
        <w:rPr>
          <w:iCs/>
          <w:sz w:val="24"/>
          <w:szCs w:val="24"/>
        </w:rPr>
        <w:t xml:space="preserve">EqIAs for the other sites will be carried out when these are brought </w:t>
      </w:r>
      <w:r w:rsidR="000B035C">
        <w:rPr>
          <w:iCs/>
          <w:sz w:val="24"/>
          <w:szCs w:val="24"/>
        </w:rPr>
        <w:t xml:space="preserve">back </w:t>
      </w:r>
      <w:r w:rsidR="005B3E62">
        <w:rPr>
          <w:iCs/>
          <w:sz w:val="24"/>
          <w:szCs w:val="24"/>
        </w:rPr>
        <w:t>to consider the detailed Phase Business Plans.</w:t>
      </w:r>
    </w:p>
    <w:p w14:paraId="6B589F3A" w14:textId="46909600" w:rsidR="003313EA" w:rsidRPr="00303FD6" w:rsidRDefault="003313EA" w:rsidP="00842757">
      <w:pPr>
        <w:pStyle w:val="Heading3"/>
        <w:spacing w:before="240"/>
        <w:jc w:val="left"/>
        <w:rPr>
          <w:color w:val="FF0000"/>
        </w:rPr>
      </w:pPr>
      <w:r w:rsidRPr="00202D79">
        <w:t>EqIA cleared by:</w:t>
      </w:r>
      <w:r>
        <w:t xml:space="preserve">  </w:t>
      </w:r>
      <w:r w:rsidR="00E51E1A">
        <w:t>Dipti Patel</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202A35C5" w:rsidR="00333FAA" w:rsidRPr="005B3E62" w:rsidRDefault="00333FAA" w:rsidP="00C20039">
      <w:pPr>
        <w:pStyle w:val="Infotext"/>
        <w:spacing w:after="240"/>
      </w:pPr>
      <w:r w:rsidRPr="004E47FC">
        <w:rPr>
          <w:b/>
        </w:rPr>
        <w:t xml:space="preserve">Contact:  </w:t>
      </w:r>
      <w:r w:rsidR="00C20039">
        <w:rPr>
          <w:b/>
        </w:rPr>
        <w:tab/>
      </w:r>
      <w:r w:rsidR="005B3E62">
        <w:t>Julian Wain Interim Director of Commercial Development</w:t>
      </w:r>
      <w:r w:rsidR="00C20039">
        <w:t xml:space="preserve"> – </w:t>
      </w:r>
      <w:hyperlink r:id="rId18" w:history="1">
        <w:r w:rsidR="005877DD" w:rsidRPr="001250A5">
          <w:rPr>
            <w:rStyle w:val="Hyperlink"/>
          </w:rPr>
          <w:t>julian.wain@harrow.gov.uk</w:t>
        </w:r>
      </w:hyperlink>
      <w:r w:rsidR="005877DD">
        <w:t xml:space="preserve"> </w:t>
      </w:r>
    </w:p>
    <w:p w14:paraId="77C58D4B" w14:textId="26326EB1" w:rsidR="00333FAA" w:rsidRDefault="00333FAA" w:rsidP="00CC18AC">
      <w:pPr>
        <w:pStyle w:val="Infotext"/>
        <w:spacing w:after="240"/>
        <w:rPr>
          <w:b/>
        </w:rPr>
      </w:pPr>
      <w:r w:rsidRPr="004E47FC">
        <w:rPr>
          <w:b/>
        </w:rPr>
        <w:t xml:space="preserve">Background Papers: </w:t>
      </w:r>
      <w:r w:rsidR="005808FB">
        <w:rPr>
          <w:b/>
        </w:rPr>
        <w:t xml:space="preserve"> </w:t>
      </w:r>
    </w:p>
    <w:p w14:paraId="65412FC5" w14:textId="0DF5341A" w:rsidR="005877DD" w:rsidRPr="005877DD" w:rsidRDefault="005877DD" w:rsidP="00E42B0A">
      <w:pPr>
        <w:pStyle w:val="Infotext"/>
        <w:numPr>
          <w:ilvl w:val="0"/>
          <w:numId w:val="26"/>
        </w:numPr>
        <w:rPr>
          <w:bCs/>
        </w:rPr>
      </w:pPr>
      <w:hyperlink r:id="rId19" w:history="1">
        <w:r w:rsidRPr="005877DD">
          <w:rPr>
            <w:rStyle w:val="Hyperlink"/>
            <w:bCs/>
          </w:rPr>
          <w:t>Harrow Strategic Development Partnership – Contract Close and Establishment</w:t>
        </w:r>
      </w:hyperlink>
      <w:r w:rsidRPr="005877DD">
        <w:rPr>
          <w:rStyle w:val="Hyperlink"/>
          <w:bCs/>
        </w:rPr>
        <w:t xml:space="preserve"> - </w:t>
      </w:r>
      <w:r w:rsidRPr="005877DD">
        <w:rPr>
          <w:bCs/>
        </w:rPr>
        <w:t>Cabinet 15</w:t>
      </w:r>
      <w:r w:rsidRPr="005877DD">
        <w:rPr>
          <w:bCs/>
          <w:vertAlign w:val="superscript"/>
        </w:rPr>
        <w:t>th</w:t>
      </w:r>
      <w:r w:rsidRPr="005877DD">
        <w:rPr>
          <w:bCs/>
        </w:rPr>
        <w:t xml:space="preserve"> July 2021</w:t>
      </w:r>
    </w:p>
    <w:p w14:paraId="10D275C8" w14:textId="77777777" w:rsidR="005877DD" w:rsidRDefault="005877DD" w:rsidP="005877DD">
      <w:pPr>
        <w:pStyle w:val="Infotext"/>
        <w:ind w:left="720"/>
        <w:rPr>
          <w:bCs/>
        </w:rPr>
      </w:pPr>
    </w:p>
    <w:p w14:paraId="2F7FC59C" w14:textId="32258AD0" w:rsidR="005877DD" w:rsidRPr="005877DD" w:rsidRDefault="005877DD" w:rsidP="00C52150">
      <w:pPr>
        <w:pStyle w:val="Infotext"/>
        <w:numPr>
          <w:ilvl w:val="0"/>
          <w:numId w:val="26"/>
        </w:numPr>
        <w:rPr>
          <w:bCs/>
        </w:rPr>
      </w:pPr>
      <w:hyperlink r:id="rId20" w:history="1">
        <w:r w:rsidRPr="005877DD">
          <w:rPr>
            <w:rStyle w:val="Hyperlink"/>
            <w:bCs/>
          </w:rPr>
          <w:t>Milton Road Development – Transfer to HSDP</w:t>
        </w:r>
      </w:hyperlink>
      <w:r w:rsidRPr="005877DD">
        <w:rPr>
          <w:rStyle w:val="Hyperlink"/>
          <w:bCs/>
        </w:rPr>
        <w:t xml:space="preserve"> - </w:t>
      </w:r>
      <w:r w:rsidRPr="005877DD">
        <w:rPr>
          <w:bCs/>
        </w:rPr>
        <w:t>Cabinet 18</w:t>
      </w:r>
      <w:r w:rsidRPr="005877DD">
        <w:rPr>
          <w:bCs/>
          <w:vertAlign w:val="superscript"/>
        </w:rPr>
        <w:t>th</w:t>
      </w:r>
      <w:r w:rsidRPr="005877DD">
        <w:rPr>
          <w:bCs/>
        </w:rPr>
        <w:t xml:space="preserve"> November 2021</w:t>
      </w:r>
    </w:p>
    <w:p w14:paraId="53CCD0E8" w14:textId="77777777" w:rsidR="005877DD" w:rsidRDefault="005877DD" w:rsidP="005877DD">
      <w:pPr>
        <w:pStyle w:val="Infotext"/>
        <w:ind w:left="720"/>
        <w:rPr>
          <w:bCs/>
        </w:rPr>
      </w:pPr>
    </w:p>
    <w:p w14:paraId="3D6AD5DC" w14:textId="2D3DB442" w:rsidR="005877DD" w:rsidRPr="005877DD" w:rsidRDefault="005877DD" w:rsidP="00614E5E">
      <w:pPr>
        <w:pStyle w:val="Infotext"/>
        <w:numPr>
          <w:ilvl w:val="0"/>
          <w:numId w:val="26"/>
        </w:numPr>
        <w:rPr>
          <w:bCs/>
        </w:rPr>
      </w:pPr>
      <w:hyperlink r:id="rId21" w:history="1">
        <w:r w:rsidRPr="005877DD">
          <w:rPr>
            <w:rStyle w:val="Hyperlink"/>
            <w:bCs/>
          </w:rPr>
          <w:t>Grange Farm Regeneration Phases 2 and 3</w:t>
        </w:r>
      </w:hyperlink>
      <w:r w:rsidRPr="005877DD">
        <w:rPr>
          <w:rStyle w:val="Hyperlink"/>
          <w:bCs/>
        </w:rPr>
        <w:t xml:space="preserve"> - </w:t>
      </w:r>
      <w:r w:rsidRPr="005877DD">
        <w:rPr>
          <w:bCs/>
        </w:rPr>
        <w:t>Cabinet 18</w:t>
      </w:r>
      <w:r w:rsidRPr="005877DD">
        <w:rPr>
          <w:bCs/>
          <w:vertAlign w:val="superscript"/>
        </w:rPr>
        <w:t>th</w:t>
      </w:r>
      <w:r w:rsidRPr="005877DD">
        <w:rPr>
          <w:bCs/>
        </w:rPr>
        <w:t xml:space="preserve"> November 2021</w:t>
      </w:r>
    </w:p>
    <w:p w14:paraId="469B1BD5" w14:textId="77777777" w:rsidR="005877DD" w:rsidRDefault="005877DD" w:rsidP="005877DD">
      <w:pPr>
        <w:pStyle w:val="Infotext"/>
        <w:ind w:left="720"/>
        <w:rPr>
          <w:bCs/>
        </w:rPr>
      </w:pPr>
    </w:p>
    <w:p w14:paraId="47879C16" w14:textId="2DBFAF8B" w:rsidR="005877DD" w:rsidRDefault="005877DD" w:rsidP="005877DD">
      <w:pPr>
        <w:pStyle w:val="Infotext"/>
        <w:numPr>
          <w:ilvl w:val="0"/>
          <w:numId w:val="26"/>
        </w:numPr>
        <w:spacing w:after="240"/>
        <w:rPr>
          <w:bCs/>
        </w:rPr>
      </w:pPr>
      <w:hyperlink r:id="rId22" w:history="1">
        <w:r w:rsidRPr="00C15183">
          <w:rPr>
            <w:rStyle w:val="Hyperlink"/>
            <w:bCs/>
          </w:rPr>
          <w:t>Harrow Strategic Development Partnership- Progress Update</w:t>
        </w:r>
      </w:hyperlink>
      <w:r w:rsidRPr="00A45321">
        <w:rPr>
          <w:bCs/>
        </w:rPr>
        <w:t xml:space="preserve"> </w:t>
      </w:r>
      <w:r>
        <w:rPr>
          <w:bCs/>
        </w:rPr>
        <w:t xml:space="preserve">- </w:t>
      </w:r>
      <w:r w:rsidRPr="00A45321">
        <w:rPr>
          <w:bCs/>
        </w:rPr>
        <w:t>Cabinet 10th March 2022</w:t>
      </w:r>
    </w:p>
    <w:p w14:paraId="005EB35E" w14:textId="44C30ACC" w:rsidR="005877DD" w:rsidRPr="005877DD" w:rsidRDefault="005877DD" w:rsidP="00545E6F">
      <w:pPr>
        <w:pStyle w:val="Infotext"/>
        <w:numPr>
          <w:ilvl w:val="0"/>
          <w:numId w:val="26"/>
        </w:numPr>
        <w:spacing w:after="240"/>
        <w:rPr>
          <w:bCs/>
        </w:rPr>
      </w:pPr>
      <w:hyperlink r:id="rId23" w:history="1">
        <w:r w:rsidRPr="005877DD">
          <w:rPr>
            <w:rStyle w:val="Hyperlink"/>
            <w:bCs/>
          </w:rPr>
          <w:t>Milton Road Development – Review and Progress</w:t>
        </w:r>
      </w:hyperlink>
      <w:r w:rsidRPr="005877DD">
        <w:rPr>
          <w:rStyle w:val="Hyperlink"/>
          <w:bCs/>
        </w:rPr>
        <w:t xml:space="preserve"> - </w:t>
      </w:r>
      <w:r w:rsidRPr="005877DD">
        <w:rPr>
          <w:bCs/>
        </w:rPr>
        <w:t>Cabinet 13</w:t>
      </w:r>
      <w:r w:rsidRPr="005877DD">
        <w:rPr>
          <w:bCs/>
          <w:vertAlign w:val="superscript"/>
        </w:rPr>
        <w:t>th</w:t>
      </w:r>
      <w:r w:rsidRPr="005877DD">
        <w:rPr>
          <w:bCs/>
        </w:rPr>
        <w:t xml:space="preserve"> October 2022</w:t>
      </w:r>
    </w:p>
    <w:p w14:paraId="3CCA5C3B" w14:textId="16F04E64" w:rsidR="000D4E36" w:rsidRPr="005877DD" w:rsidRDefault="00842757" w:rsidP="005877DD">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5877DD">
        <w:rPr>
          <w:rFonts w:ascii="Arial Black" w:hAnsi="Arial Black"/>
        </w:rPr>
        <w:t xml:space="preserve"> - </w:t>
      </w:r>
      <w:r w:rsidRPr="003D78F6">
        <w:rPr>
          <w:b/>
        </w:rPr>
        <w:t xml:space="preserve">NO </w:t>
      </w:r>
    </w:p>
    <w:sectPr w:rsidR="000D4E36" w:rsidRPr="005877DD" w:rsidSect="001614E0">
      <w:headerReference w:type="default" r:id="rId24"/>
      <w:headerReference w:type="first" r:id="rId25"/>
      <w:footerReference w:type="first" r:id="rId2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6B27" w14:textId="77777777" w:rsidR="00A770DA" w:rsidRDefault="00A770DA">
      <w:r>
        <w:separator/>
      </w:r>
    </w:p>
  </w:endnote>
  <w:endnote w:type="continuationSeparator" w:id="0">
    <w:p w14:paraId="6EDFB282" w14:textId="77777777" w:rsidR="00A770DA" w:rsidRDefault="00A7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DCEF" w14:textId="77777777" w:rsidR="00A770DA" w:rsidRDefault="00A770DA">
      <w:r>
        <w:separator/>
      </w:r>
    </w:p>
  </w:footnote>
  <w:footnote w:type="continuationSeparator" w:id="0">
    <w:p w14:paraId="6DCBD4CF" w14:textId="77777777" w:rsidR="00A770DA" w:rsidRDefault="00A7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9C3"/>
    <w:multiLevelType w:val="hybridMultilevel"/>
    <w:tmpl w:val="4DA6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7B60"/>
    <w:multiLevelType w:val="multilevel"/>
    <w:tmpl w:val="AF8E6EBE"/>
    <w:lvl w:ilvl="0">
      <w:start w:val="1"/>
      <w:numFmt w:val="decimal"/>
      <w:pStyle w:val="CabNumTitle"/>
      <w:lvlText w:val="%1."/>
      <w:lvlJc w:val="left"/>
      <w:pPr>
        <w:ind w:left="1418" w:hanging="70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pStyle w:val="CabNumPara"/>
      <w:lvlText w:val="%1.%2."/>
      <w:lvlJc w:val="left"/>
      <w:pPr>
        <w:ind w:left="851"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pStyle w:val="CabPara2"/>
      <w:lvlText w:val="%1.%2.%3."/>
      <w:lvlJc w:val="left"/>
      <w:pPr>
        <w:ind w:left="1778" w:hanging="106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38" w:hanging="1429"/>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38" w:hanging="1429"/>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498" w:hanging="1789"/>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498" w:hanging="178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858" w:hanging="2149"/>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58" w:hanging="214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460D58"/>
    <w:multiLevelType w:val="hybridMultilevel"/>
    <w:tmpl w:val="52EA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54B0"/>
    <w:multiLevelType w:val="hybridMultilevel"/>
    <w:tmpl w:val="313A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41040"/>
    <w:multiLevelType w:val="multilevel"/>
    <w:tmpl w:val="1A3860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23AB1"/>
    <w:multiLevelType w:val="hybridMultilevel"/>
    <w:tmpl w:val="6DC00002"/>
    <w:lvl w:ilvl="0" w:tplc="08090001">
      <w:start w:val="1"/>
      <w:numFmt w:val="bullet"/>
      <w:lvlText w:val=""/>
      <w:lvlJc w:val="left"/>
      <w:pPr>
        <w:tabs>
          <w:tab w:val="num" w:pos="720"/>
        </w:tabs>
        <w:ind w:left="720" w:hanging="360"/>
      </w:pPr>
      <w:rPr>
        <w:rFonts w:ascii="Symbol" w:hAnsi="Symbol" w:hint="default"/>
      </w:rPr>
    </w:lvl>
    <w:lvl w:ilvl="1" w:tplc="F0546992">
      <w:start w:val="1"/>
      <w:numFmt w:val="bullet"/>
      <w:lvlText w:val="•"/>
      <w:lvlJc w:val="left"/>
      <w:pPr>
        <w:tabs>
          <w:tab w:val="num" w:pos="1440"/>
        </w:tabs>
        <w:ind w:left="1440" w:hanging="360"/>
      </w:pPr>
      <w:rPr>
        <w:rFonts w:ascii="Arial" w:hAnsi="Arial" w:hint="default"/>
      </w:rPr>
    </w:lvl>
    <w:lvl w:ilvl="2" w:tplc="5E3C934C" w:tentative="1">
      <w:start w:val="1"/>
      <w:numFmt w:val="bullet"/>
      <w:lvlText w:val="•"/>
      <w:lvlJc w:val="left"/>
      <w:pPr>
        <w:tabs>
          <w:tab w:val="num" w:pos="2160"/>
        </w:tabs>
        <w:ind w:left="2160" w:hanging="360"/>
      </w:pPr>
      <w:rPr>
        <w:rFonts w:ascii="Arial" w:hAnsi="Arial" w:hint="default"/>
      </w:rPr>
    </w:lvl>
    <w:lvl w:ilvl="3" w:tplc="5DCA6B54" w:tentative="1">
      <w:start w:val="1"/>
      <w:numFmt w:val="bullet"/>
      <w:lvlText w:val="•"/>
      <w:lvlJc w:val="left"/>
      <w:pPr>
        <w:tabs>
          <w:tab w:val="num" w:pos="2880"/>
        </w:tabs>
        <w:ind w:left="2880" w:hanging="360"/>
      </w:pPr>
      <w:rPr>
        <w:rFonts w:ascii="Arial" w:hAnsi="Arial" w:hint="default"/>
      </w:rPr>
    </w:lvl>
    <w:lvl w:ilvl="4" w:tplc="0A0A7B68" w:tentative="1">
      <w:start w:val="1"/>
      <w:numFmt w:val="bullet"/>
      <w:lvlText w:val="•"/>
      <w:lvlJc w:val="left"/>
      <w:pPr>
        <w:tabs>
          <w:tab w:val="num" w:pos="3600"/>
        </w:tabs>
        <w:ind w:left="3600" w:hanging="360"/>
      </w:pPr>
      <w:rPr>
        <w:rFonts w:ascii="Arial" w:hAnsi="Arial" w:hint="default"/>
      </w:rPr>
    </w:lvl>
    <w:lvl w:ilvl="5" w:tplc="D57A3060" w:tentative="1">
      <w:start w:val="1"/>
      <w:numFmt w:val="bullet"/>
      <w:lvlText w:val="•"/>
      <w:lvlJc w:val="left"/>
      <w:pPr>
        <w:tabs>
          <w:tab w:val="num" w:pos="4320"/>
        </w:tabs>
        <w:ind w:left="4320" w:hanging="360"/>
      </w:pPr>
      <w:rPr>
        <w:rFonts w:ascii="Arial" w:hAnsi="Arial" w:hint="default"/>
      </w:rPr>
    </w:lvl>
    <w:lvl w:ilvl="6" w:tplc="3AD8E7F8" w:tentative="1">
      <w:start w:val="1"/>
      <w:numFmt w:val="bullet"/>
      <w:lvlText w:val="•"/>
      <w:lvlJc w:val="left"/>
      <w:pPr>
        <w:tabs>
          <w:tab w:val="num" w:pos="5040"/>
        </w:tabs>
        <w:ind w:left="5040" w:hanging="360"/>
      </w:pPr>
      <w:rPr>
        <w:rFonts w:ascii="Arial" w:hAnsi="Arial" w:hint="default"/>
      </w:rPr>
    </w:lvl>
    <w:lvl w:ilvl="7" w:tplc="B3CC0EBA" w:tentative="1">
      <w:start w:val="1"/>
      <w:numFmt w:val="bullet"/>
      <w:lvlText w:val="•"/>
      <w:lvlJc w:val="left"/>
      <w:pPr>
        <w:tabs>
          <w:tab w:val="num" w:pos="5760"/>
        </w:tabs>
        <w:ind w:left="5760" w:hanging="360"/>
      </w:pPr>
      <w:rPr>
        <w:rFonts w:ascii="Arial" w:hAnsi="Arial" w:hint="default"/>
      </w:rPr>
    </w:lvl>
    <w:lvl w:ilvl="8" w:tplc="6B925C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FC3FCD"/>
    <w:multiLevelType w:val="multilevel"/>
    <w:tmpl w:val="DA1E329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D3ADA"/>
    <w:multiLevelType w:val="hybridMultilevel"/>
    <w:tmpl w:val="B43A88EA"/>
    <w:lvl w:ilvl="0" w:tplc="571C4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841F4"/>
    <w:multiLevelType w:val="hybridMultilevel"/>
    <w:tmpl w:val="01E4F844"/>
    <w:lvl w:ilvl="0" w:tplc="6DCCAD5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52674"/>
    <w:multiLevelType w:val="hybridMultilevel"/>
    <w:tmpl w:val="CE10C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6960"/>
    <w:multiLevelType w:val="hybridMultilevel"/>
    <w:tmpl w:val="91D0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336CD"/>
    <w:multiLevelType w:val="hybridMultilevel"/>
    <w:tmpl w:val="3346785E"/>
    <w:lvl w:ilvl="0" w:tplc="571C4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46421"/>
    <w:multiLevelType w:val="multilevel"/>
    <w:tmpl w:val="457632C4"/>
    <w:lvl w:ilvl="0">
      <w:start w:val="2"/>
      <w:numFmt w:val="decimal"/>
      <w:lvlText w:val="%1"/>
      <w:lvlJc w:val="left"/>
      <w:pPr>
        <w:ind w:left="560" w:hanging="56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64F293A"/>
    <w:multiLevelType w:val="hybridMultilevel"/>
    <w:tmpl w:val="A358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B309E"/>
    <w:multiLevelType w:val="hybridMultilevel"/>
    <w:tmpl w:val="CB784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339F4"/>
    <w:multiLevelType w:val="hybridMultilevel"/>
    <w:tmpl w:val="C10EE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11041"/>
    <w:multiLevelType w:val="hybridMultilevel"/>
    <w:tmpl w:val="E33C35DA"/>
    <w:lvl w:ilvl="0" w:tplc="A2B454E8">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7" w15:restartNumberingAfterBreak="0">
    <w:nsid w:val="48E12D0E"/>
    <w:multiLevelType w:val="hybridMultilevel"/>
    <w:tmpl w:val="AADC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C7C25"/>
    <w:multiLevelType w:val="hybridMultilevel"/>
    <w:tmpl w:val="B01E15B2"/>
    <w:lvl w:ilvl="0" w:tplc="56047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C5A5C"/>
    <w:multiLevelType w:val="hybridMultilevel"/>
    <w:tmpl w:val="A6D2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0329E"/>
    <w:multiLevelType w:val="hybridMultilevel"/>
    <w:tmpl w:val="144A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12DA1"/>
    <w:multiLevelType w:val="hybridMultilevel"/>
    <w:tmpl w:val="9286C2A4"/>
    <w:lvl w:ilvl="0" w:tplc="4FC48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536805"/>
    <w:multiLevelType w:val="hybridMultilevel"/>
    <w:tmpl w:val="71847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D12EE2"/>
    <w:multiLevelType w:val="hybridMultilevel"/>
    <w:tmpl w:val="9286C2A4"/>
    <w:lvl w:ilvl="0" w:tplc="4FC48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D62A3A"/>
    <w:multiLevelType w:val="hybridMultilevel"/>
    <w:tmpl w:val="6B06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24C74"/>
    <w:multiLevelType w:val="multilevel"/>
    <w:tmpl w:val="8558165E"/>
    <w:lvl w:ilvl="0">
      <w:start w:val="2"/>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7"/>
  </w:num>
  <w:num w:numId="3">
    <w:abstractNumId w:val="5"/>
  </w:num>
  <w:num w:numId="4">
    <w:abstractNumId w:val="11"/>
  </w:num>
  <w:num w:numId="5">
    <w:abstractNumId w:val="10"/>
  </w:num>
  <w:num w:numId="6">
    <w:abstractNumId w:val="19"/>
  </w:num>
  <w:num w:numId="7">
    <w:abstractNumId w:val="20"/>
  </w:num>
  <w:num w:numId="8">
    <w:abstractNumId w:val="24"/>
  </w:num>
  <w:num w:numId="9">
    <w:abstractNumId w:val="13"/>
  </w:num>
  <w:num w:numId="10">
    <w:abstractNumId w:val="0"/>
  </w:num>
  <w:num w:numId="11">
    <w:abstractNumId w:val="1"/>
  </w:num>
  <w:num w:numId="12">
    <w:abstractNumId w:val="16"/>
  </w:num>
  <w:num w:numId="13">
    <w:abstractNumId w:val="3"/>
  </w:num>
  <w:num w:numId="14">
    <w:abstractNumId w:val="18"/>
  </w:num>
  <w:num w:numId="15">
    <w:abstractNumId w:val="22"/>
  </w:num>
  <w:num w:numId="16">
    <w:abstractNumId w:val="21"/>
  </w:num>
  <w:num w:numId="17">
    <w:abstractNumId w:val="6"/>
  </w:num>
  <w:num w:numId="18">
    <w:abstractNumId w:val="15"/>
  </w:num>
  <w:num w:numId="19">
    <w:abstractNumId w:val="23"/>
  </w:num>
  <w:num w:numId="20">
    <w:abstractNumId w:val="8"/>
  </w:num>
  <w:num w:numId="21">
    <w:abstractNumId w:val="12"/>
  </w:num>
  <w:num w:numId="22">
    <w:abstractNumId w:val="4"/>
  </w:num>
  <w:num w:numId="23">
    <w:abstractNumId w:val="25"/>
  </w:num>
  <w:num w:numId="24">
    <w:abstractNumId w:val="14"/>
  </w:num>
  <w:num w:numId="25">
    <w:abstractNumId w:val="9"/>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F69"/>
    <w:rsid w:val="0001047C"/>
    <w:rsid w:val="00012213"/>
    <w:rsid w:val="00012C2C"/>
    <w:rsid w:val="00015669"/>
    <w:rsid w:val="000238CA"/>
    <w:rsid w:val="000321A5"/>
    <w:rsid w:val="00033289"/>
    <w:rsid w:val="00034D34"/>
    <w:rsid w:val="0003525A"/>
    <w:rsid w:val="00035FA5"/>
    <w:rsid w:val="000360B2"/>
    <w:rsid w:val="00036E2B"/>
    <w:rsid w:val="00037953"/>
    <w:rsid w:val="0004029A"/>
    <w:rsid w:val="00047328"/>
    <w:rsid w:val="000474E3"/>
    <w:rsid w:val="00054768"/>
    <w:rsid w:val="00055061"/>
    <w:rsid w:val="00056510"/>
    <w:rsid w:val="000600B9"/>
    <w:rsid w:val="0006034E"/>
    <w:rsid w:val="0006142E"/>
    <w:rsid w:val="00063783"/>
    <w:rsid w:val="00065019"/>
    <w:rsid w:val="000656EB"/>
    <w:rsid w:val="00065A84"/>
    <w:rsid w:val="000667A8"/>
    <w:rsid w:val="000674B3"/>
    <w:rsid w:val="000711C3"/>
    <w:rsid w:val="00072CA7"/>
    <w:rsid w:val="00073765"/>
    <w:rsid w:val="00080B61"/>
    <w:rsid w:val="000929A6"/>
    <w:rsid w:val="000935D7"/>
    <w:rsid w:val="00094B3F"/>
    <w:rsid w:val="00095A3D"/>
    <w:rsid w:val="000A3F90"/>
    <w:rsid w:val="000B035C"/>
    <w:rsid w:val="000B05FC"/>
    <w:rsid w:val="000B38CA"/>
    <w:rsid w:val="000B5015"/>
    <w:rsid w:val="000B53A1"/>
    <w:rsid w:val="000B788F"/>
    <w:rsid w:val="000B7C66"/>
    <w:rsid w:val="000C1B3E"/>
    <w:rsid w:val="000C60F6"/>
    <w:rsid w:val="000C6F13"/>
    <w:rsid w:val="000D03A3"/>
    <w:rsid w:val="000D105D"/>
    <w:rsid w:val="000D4E36"/>
    <w:rsid w:val="000E0918"/>
    <w:rsid w:val="000E3B7D"/>
    <w:rsid w:val="000E62FE"/>
    <w:rsid w:val="000F25A2"/>
    <w:rsid w:val="000F6F35"/>
    <w:rsid w:val="00104190"/>
    <w:rsid w:val="00104C43"/>
    <w:rsid w:val="00104DF5"/>
    <w:rsid w:val="0011393F"/>
    <w:rsid w:val="001161E4"/>
    <w:rsid w:val="00117F28"/>
    <w:rsid w:val="00121C1C"/>
    <w:rsid w:val="00125A26"/>
    <w:rsid w:val="001328AF"/>
    <w:rsid w:val="0013524A"/>
    <w:rsid w:val="00135DEA"/>
    <w:rsid w:val="00137460"/>
    <w:rsid w:val="00142645"/>
    <w:rsid w:val="001427FF"/>
    <w:rsid w:val="00143C57"/>
    <w:rsid w:val="00144A36"/>
    <w:rsid w:val="00144D14"/>
    <w:rsid w:val="001472A8"/>
    <w:rsid w:val="00150085"/>
    <w:rsid w:val="00153182"/>
    <w:rsid w:val="0015376F"/>
    <w:rsid w:val="001544EC"/>
    <w:rsid w:val="00155A6E"/>
    <w:rsid w:val="001613A8"/>
    <w:rsid w:val="001614E0"/>
    <w:rsid w:val="00161C58"/>
    <w:rsid w:val="0016378C"/>
    <w:rsid w:val="00165BE9"/>
    <w:rsid w:val="001713C7"/>
    <w:rsid w:val="00171BD8"/>
    <w:rsid w:val="00172FCB"/>
    <w:rsid w:val="0017302C"/>
    <w:rsid w:val="00173056"/>
    <w:rsid w:val="0017653E"/>
    <w:rsid w:val="00181C2F"/>
    <w:rsid w:val="001821AB"/>
    <w:rsid w:val="00182B01"/>
    <w:rsid w:val="001840D2"/>
    <w:rsid w:val="00191BD6"/>
    <w:rsid w:val="00193B1C"/>
    <w:rsid w:val="00193C62"/>
    <w:rsid w:val="001948D0"/>
    <w:rsid w:val="001966D7"/>
    <w:rsid w:val="001A25CF"/>
    <w:rsid w:val="001A308C"/>
    <w:rsid w:val="001A4AA1"/>
    <w:rsid w:val="001A5D8D"/>
    <w:rsid w:val="001A7F2F"/>
    <w:rsid w:val="001A7F8C"/>
    <w:rsid w:val="001B21FE"/>
    <w:rsid w:val="001C4D2E"/>
    <w:rsid w:val="001C7498"/>
    <w:rsid w:val="001C7E35"/>
    <w:rsid w:val="001D70C1"/>
    <w:rsid w:val="001E3C06"/>
    <w:rsid w:val="001E650F"/>
    <w:rsid w:val="001F0037"/>
    <w:rsid w:val="001F0BE9"/>
    <w:rsid w:val="001F1DBF"/>
    <w:rsid w:val="001F2752"/>
    <w:rsid w:val="001F53AB"/>
    <w:rsid w:val="001F651B"/>
    <w:rsid w:val="001F6E2B"/>
    <w:rsid w:val="00202D79"/>
    <w:rsid w:val="00202F27"/>
    <w:rsid w:val="00203F8F"/>
    <w:rsid w:val="002049E0"/>
    <w:rsid w:val="00205D2F"/>
    <w:rsid w:val="0021035C"/>
    <w:rsid w:val="00212970"/>
    <w:rsid w:val="00212A6B"/>
    <w:rsid w:val="00215E8F"/>
    <w:rsid w:val="00221A93"/>
    <w:rsid w:val="00225C99"/>
    <w:rsid w:val="00227248"/>
    <w:rsid w:val="002322BB"/>
    <w:rsid w:val="00232725"/>
    <w:rsid w:val="00232A83"/>
    <w:rsid w:val="002333ED"/>
    <w:rsid w:val="00235E20"/>
    <w:rsid w:val="002379F9"/>
    <w:rsid w:val="002438E1"/>
    <w:rsid w:val="00246961"/>
    <w:rsid w:val="00251254"/>
    <w:rsid w:val="00252CE5"/>
    <w:rsid w:val="0025449F"/>
    <w:rsid w:val="002548D1"/>
    <w:rsid w:val="00254BCB"/>
    <w:rsid w:val="00260B0A"/>
    <w:rsid w:val="002616BB"/>
    <w:rsid w:val="00264B6D"/>
    <w:rsid w:val="0026651C"/>
    <w:rsid w:val="00270F7D"/>
    <w:rsid w:val="0027283B"/>
    <w:rsid w:val="002753D0"/>
    <w:rsid w:val="0028019B"/>
    <w:rsid w:val="00280E5F"/>
    <w:rsid w:val="00282E73"/>
    <w:rsid w:val="00283CAB"/>
    <w:rsid w:val="002846E4"/>
    <w:rsid w:val="0028525A"/>
    <w:rsid w:val="00291F43"/>
    <w:rsid w:val="002921D2"/>
    <w:rsid w:val="0029421B"/>
    <w:rsid w:val="00295A91"/>
    <w:rsid w:val="002A3949"/>
    <w:rsid w:val="002A3FEF"/>
    <w:rsid w:val="002A5878"/>
    <w:rsid w:val="002A61E1"/>
    <w:rsid w:val="002A75BA"/>
    <w:rsid w:val="002B2F74"/>
    <w:rsid w:val="002B54A6"/>
    <w:rsid w:val="002C1F39"/>
    <w:rsid w:val="002C25C7"/>
    <w:rsid w:val="002C38C6"/>
    <w:rsid w:val="002C53DC"/>
    <w:rsid w:val="002C5A26"/>
    <w:rsid w:val="002D08D1"/>
    <w:rsid w:val="002D3069"/>
    <w:rsid w:val="002D5FB4"/>
    <w:rsid w:val="002E5332"/>
    <w:rsid w:val="002E7442"/>
    <w:rsid w:val="002F162A"/>
    <w:rsid w:val="002F303D"/>
    <w:rsid w:val="002F3EE9"/>
    <w:rsid w:val="002F69CF"/>
    <w:rsid w:val="002F6B9F"/>
    <w:rsid w:val="003017F7"/>
    <w:rsid w:val="00301F7A"/>
    <w:rsid w:val="00303996"/>
    <w:rsid w:val="00307F76"/>
    <w:rsid w:val="00316B73"/>
    <w:rsid w:val="00317764"/>
    <w:rsid w:val="00321AF8"/>
    <w:rsid w:val="00321FBB"/>
    <w:rsid w:val="00323C0B"/>
    <w:rsid w:val="00327D76"/>
    <w:rsid w:val="0033126F"/>
    <w:rsid w:val="003313EA"/>
    <w:rsid w:val="00333FAA"/>
    <w:rsid w:val="003355D7"/>
    <w:rsid w:val="003368F0"/>
    <w:rsid w:val="003378FF"/>
    <w:rsid w:val="00341C2A"/>
    <w:rsid w:val="00347481"/>
    <w:rsid w:val="00352EB5"/>
    <w:rsid w:val="00361F53"/>
    <w:rsid w:val="0036201C"/>
    <w:rsid w:val="003642DE"/>
    <w:rsid w:val="00366422"/>
    <w:rsid w:val="00372AB9"/>
    <w:rsid w:val="003736DB"/>
    <w:rsid w:val="003762EB"/>
    <w:rsid w:val="00376768"/>
    <w:rsid w:val="00376AFD"/>
    <w:rsid w:val="003773D0"/>
    <w:rsid w:val="00381244"/>
    <w:rsid w:val="00381477"/>
    <w:rsid w:val="00386137"/>
    <w:rsid w:val="0038780E"/>
    <w:rsid w:val="003902CD"/>
    <w:rsid w:val="00391345"/>
    <w:rsid w:val="00391A50"/>
    <w:rsid w:val="003921C4"/>
    <w:rsid w:val="003949C9"/>
    <w:rsid w:val="003970DD"/>
    <w:rsid w:val="00397646"/>
    <w:rsid w:val="00397C4B"/>
    <w:rsid w:val="003A0845"/>
    <w:rsid w:val="003A0FE8"/>
    <w:rsid w:val="003B6D40"/>
    <w:rsid w:val="003C4762"/>
    <w:rsid w:val="003D6316"/>
    <w:rsid w:val="003E64D7"/>
    <w:rsid w:val="003F3AFD"/>
    <w:rsid w:val="003F3D66"/>
    <w:rsid w:val="004052F8"/>
    <w:rsid w:val="0040719E"/>
    <w:rsid w:val="004076C8"/>
    <w:rsid w:val="0041641F"/>
    <w:rsid w:val="004178E4"/>
    <w:rsid w:val="004207E3"/>
    <w:rsid w:val="00421A4C"/>
    <w:rsid w:val="00422912"/>
    <w:rsid w:val="004238C2"/>
    <w:rsid w:val="00423B3B"/>
    <w:rsid w:val="00424C2D"/>
    <w:rsid w:val="004314A4"/>
    <w:rsid w:val="00431B99"/>
    <w:rsid w:val="00432A4B"/>
    <w:rsid w:val="00432A88"/>
    <w:rsid w:val="00434839"/>
    <w:rsid w:val="00435411"/>
    <w:rsid w:val="00435B5D"/>
    <w:rsid w:val="00435BBA"/>
    <w:rsid w:val="004363F7"/>
    <w:rsid w:val="0043754F"/>
    <w:rsid w:val="004415F1"/>
    <w:rsid w:val="004418DA"/>
    <w:rsid w:val="004436B4"/>
    <w:rsid w:val="0044525C"/>
    <w:rsid w:val="004513A2"/>
    <w:rsid w:val="00452044"/>
    <w:rsid w:val="0045326D"/>
    <w:rsid w:val="00453F34"/>
    <w:rsid w:val="00454650"/>
    <w:rsid w:val="004553F1"/>
    <w:rsid w:val="00461B36"/>
    <w:rsid w:val="00462351"/>
    <w:rsid w:val="0046257B"/>
    <w:rsid w:val="00471C1F"/>
    <w:rsid w:val="00480511"/>
    <w:rsid w:val="004809FA"/>
    <w:rsid w:val="004818BD"/>
    <w:rsid w:val="0048205D"/>
    <w:rsid w:val="0049064C"/>
    <w:rsid w:val="0049391E"/>
    <w:rsid w:val="00494C18"/>
    <w:rsid w:val="004A13BC"/>
    <w:rsid w:val="004A2907"/>
    <w:rsid w:val="004A2A7B"/>
    <w:rsid w:val="004A5088"/>
    <w:rsid w:val="004A6D3A"/>
    <w:rsid w:val="004B147B"/>
    <w:rsid w:val="004B2E6D"/>
    <w:rsid w:val="004B5DE3"/>
    <w:rsid w:val="004B70FD"/>
    <w:rsid w:val="004B761D"/>
    <w:rsid w:val="004C0256"/>
    <w:rsid w:val="004C4726"/>
    <w:rsid w:val="004C4A75"/>
    <w:rsid w:val="004D2DA0"/>
    <w:rsid w:val="004D2E5A"/>
    <w:rsid w:val="004D7720"/>
    <w:rsid w:val="004E14A4"/>
    <w:rsid w:val="004F54BD"/>
    <w:rsid w:val="004F56C5"/>
    <w:rsid w:val="004F7340"/>
    <w:rsid w:val="004F7FD6"/>
    <w:rsid w:val="00500379"/>
    <w:rsid w:val="00505737"/>
    <w:rsid w:val="00506185"/>
    <w:rsid w:val="00510124"/>
    <w:rsid w:val="0051148C"/>
    <w:rsid w:val="00512819"/>
    <w:rsid w:val="00512993"/>
    <w:rsid w:val="005161D9"/>
    <w:rsid w:val="00521D01"/>
    <w:rsid w:val="00522A09"/>
    <w:rsid w:val="005251F3"/>
    <w:rsid w:val="005354D0"/>
    <w:rsid w:val="00537026"/>
    <w:rsid w:val="0054172C"/>
    <w:rsid w:val="005436C6"/>
    <w:rsid w:val="00545842"/>
    <w:rsid w:val="0054590F"/>
    <w:rsid w:val="005459EC"/>
    <w:rsid w:val="0055347F"/>
    <w:rsid w:val="00557F9C"/>
    <w:rsid w:val="0056118C"/>
    <w:rsid w:val="00562ACE"/>
    <w:rsid w:val="00563E0B"/>
    <w:rsid w:val="00564DEC"/>
    <w:rsid w:val="005656FD"/>
    <w:rsid w:val="00567A19"/>
    <w:rsid w:val="00567AC0"/>
    <w:rsid w:val="005718B5"/>
    <w:rsid w:val="00573ADA"/>
    <w:rsid w:val="005808FB"/>
    <w:rsid w:val="005811F8"/>
    <w:rsid w:val="00582605"/>
    <w:rsid w:val="00582967"/>
    <w:rsid w:val="00584832"/>
    <w:rsid w:val="00586BD6"/>
    <w:rsid w:val="005877DD"/>
    <w:rsid w:val="00590315"/>
    <w:rsid w:val="00591016"/>
    <w:rsid w:val="005B19F2"/>
    <w:rsid w:val="005B22FE"/>
    <w:rsid w:val="005B2A4F"/>
    <w:rsid w:val="005B2F37"/>
    <w:rsid w:val="005B377B"/>
    <w:rsid w:val="005B3E62"/>
    <w:rsid w:val="005B3F67"/>
    <w:rsid w:val="005C2BE9"/>
    <w:rsid w:val="005C4ED0"/>
    <w:rsid w:val="005C7449"/>
    <w:rsid w:val="005D023C"/>
    <w:rsid w:val="005D0253"/>
    <w:rsid w:val="005D1F2B"/>
    <w:rsid w:val="005D548F"/>
    <w:rsid w:val="005D6EF5"/>
    <w:rsid w:val="005D7CB0"/>
    <w:rsid w:val="005E0896"/>
    <w:rsid w:val="005E1B65"/>
    <w:rsid w:val="005E1FC3"/>
    <w:rsid w:val="005E3A10"/>
    <w:rsid w:val="005E4F28"/>
    <w:rsid w:val="005E7509"/>
    <w:rsid w:val="005F3744"/>
    <w:rsid w:val="005F4ECB"/>
    <w:rsid w:val="006018E1"/>
    <w:rsid w:val="00605A4C"/>
    <w:rsid w:val="00607337"/>
    <w:rsid w:val="0060741A"/>
    <w:rsid w:val="006118CC"/>
    <w:rsid w:val="00612856"/>
    <w:rsid w:val="00612ED4"/>
    <w:rsid w:val="00613CB2"/>
    <w:rsid w:val="00614EFA"/>
    <w:rsid w:val="00617161"/>
    <w:rsid w:val="006174DE"/>
    <w:rsid w:val="006209C9"/>
    <w:rsid w:val="00621602"/>
    <w:rsid w:val="00622036"/>
    <w:rsid w:val="006223FD"/>
    <w:rsid w:val="00622D1C"/>
    <w:rsid w:val="00624435"/>
    <w:rsid w:val="00627847"/>
    <w:rsid w:val="00632B36"/>
    <w:rsid w:val="00636640"/>
    <w:rsid w:val="006379CF"/>
    <w:rsid w:val="00643411"/>
    <w:rsid w:val="0064447E"/>
    <w:rsid w:val="00644E04"/>
    <w:rsid w:val="006457C4"/>
    <w:rsid w:val="00645B8B"/>
    <w:rsid w:val="00650A5B"/>
    <w:rsid w:val="00655044"/>
    <w:rsid w:val="006578A2"/>
    <w:rsid w:val="006634BA"/>
    <w:rsid w:val="00663D1F"/>
    <w:rsid w:val="006640DB"/>
    <w:rsid w:val="00666922"/>
    <w:rsid w:val="006671B7"/>
    <w:rsid w:val="00670F17"/>
    <w:rsid w:val="006710C7"/>
    <w:rsid w:val="0067261E"/>
    <w:rsid w:val="006738F0"/>
    <w:rsid w:val="00674E9C"/>
    <w:rsid w:val="00677553"/>
    <w:rsid w:val="006775D9"/>
    <w:rsid w:val="00677AEE"/>
    <w:rsid w:val="00677D32"/>
    <w:rsid w:val="006821D9"/>
    <w:rsid w:val="006842FB"/>
    <w:rsid w:val="00685A64"/>
    <w:rsid w:val="0069345C"/>
    <w:rsid w:val="00694C16"/>
    <w:rsid w:val="00696A83"/>
    <w:rsid w:val="006976F8"/>
    <w:rsid w:val="00697D54"/>
    <w:rsid w:val="006A04C0"/>
    <w:rsid w:val="006A0A44"/>
    <w:rsid w:val="006A0AA5"/>
    <w:rsid w:val="006A4948"/>
    <w:rsid w:val="006A5E2A"/>
    <w:rsid w:val="006B0A23"/>
    <w:rsid w:val="006B3E74"/>
    <w:rsid w:val="006B6BCE"/>
    <w:rsid w:val="006C19D0"/>
    <w:rsid w:val="006C2992"/>
    <w:rsid w:val="006C580A"/>
    <w:rsid w:val="006C6945"/>
    <w:rsid w:val="006D1E69"/>
    <w:rsid w:val="006E5EA2"/>
    <w:rsid w:val="006E7E60"/>
    <w:rsid w:val="006F057C"/>
    <w:rsid w:val="006F22DA"/>
    <w:rsid w:val="006F2EB3"/>
    <w:rsid w:val="006F6CBB"/>
    <w:rsid w:val="0070389F"/>
    <w:rsid w:val="00711232"/>
    <w:rsid w:val="007116B1"/>
    <w:rsid w:val="00711DD4"/>
    <w:rsid w:val="007144F2"/>
    <w:rsid w:val="00714BEE"/>
    <w:rsid w:val="007154B7"/>
    <w:rsid w:val="007160E4"/>
    <w:rsid w:val="00721215"/>
    <w:rsid w:val="00723703"/>
    <w:rsid w:val="0072414B"/>
    <w:rsid w:val="0072487F"/>
    <w:rsid w:val="00726017"/>
    <w:rsid w:val="00731FAD"/>
    <w:rsid w:val="0073507E"/>
    <w:rsid w:val="007400CF"/>
    <w:rsid w:val="00745495"/>
    <w:rsid w:val="00745E01"/>
    <w:rsid w:val="00746AE9"/>
    <w:rsid w:val="00750EF6"/>
    <w:rsid w:val="00753AE6"/>
    <w:rsid w:val="00754B4D"/>
    <w:rsid w:val="007554EB"/>
    <w:rsid w:val="00755DDB"/>
    <w:rsid w:val="007640D2"/>
    <w:rsid w:val="007642FE"/>
    <w:rsid w:val="00765AF5"/>
    <w:rsid w:val="007676C6"/>
    <w:rsid w:val="00767FD2"/>
    <w:rsid w:val="007723CE"/>
    <w:rsid w:val="007754D8"/>
    <w:rsid w:val="0077553C"/>
    <w:rsid w:val="00782594"/>
    <w:rsid w:val="00784858"/>
    <w:rsid w:val="00791269"/>
    <w:rsid w:val="00791B21"/>
    <w:rsid w:val="00791B7F"/>
    <w:rsid w:val="00797186"/>
    <w:rsid w:val="007A3E24"/>
    <w:rsid w:val="007A6783"/>
    <w:rsid w:val="007B0FEA"/>
    <w:rsid w:val="007B1B2E"/>
    <w:rsid w:val="007B1F19"/>
    <w:rsid w:val="007B23FC"/>
    <w:rsid w:val="007B317A"/>
    <w:rsid w:val="007B32E0"/>
    <w:rsid w:val="007B507D"/>
    <w:rsid w:val="007B5F67"/>
    <w:rsid w:val="007C55D2"/>
    <w:rsid w:val="007D0C1D"/>
    <w:rsid w:val="007D2000"/>
    <w:rsid w:val="007D2F13"/>
    <w:rsid w:val="007D4DBF"/>
    <w:rsid w:val="007D7616"/>
    <w:rsid w:val="007E4732"/>
    <w:rsid w:val="007E4BA4"/>
    <w:rsid w:val="007E5438"/>
    <w:rsid w:val="007E735D"/>
    <w:rsid w:val="007E7CA6"/>
    <w:rsid w:val="007F004E"/>
    <w:rsid w:val="007F1CD7"/>
    <w:rsid w:val="007F335A"/>
    <w:rsid w:val="00802A10"/>
    <w:rsid w:val="00803104"/>
    <w:rsid w:val="00805285"/>
    <w:rsid w:val="0080616D"/>
    <w:rsid w:val="00806488"/>
    <w:rsid w:val="008107D5"/>
    <w:rsid w:val="00812901"/>
    <w:rsid w:val="00820975"/>
    <w:rsid w:val="008211C4"/>
    <w:rsid w:val="0082569A"/>
    <w:rsid w:val="00826B9A"/>
    <w:rsid w:val="00827848"/>
    <w:rsid w:val="00830057"/>
    <w:rsid w:val="00830440"/>
    <w:rsid w:val="00830CFE"/>
    <w:rsid w:val="008313FE"/>
    <w:rsid w:val="00842757"/>
    <w:rsid w:val="00842791"/>
    <w:rsid w:val="00842E21"/>
    <w:rsid w:val="00843639"/>
    <w:rsid w:val="00843CC2"/>
    <w:rsid w:val="0084508B"/>
    <w:rsid w:val="00845848"/>
    <w:rsid w:val="00847732"/>
    <w:rsid w:val="0085266D"/>
    <w:rsid w:val="0085277E"/>
    <w:rsid w:val="00852D54"/>
    <w:rsid w:val="00853333"/>
    <w:rsid w:val="0085334F"/>
    <w:rsid w:val="00860ACC"/>
    <w:rsid w:val="00860E9E"/>
    <w:rsid w:val="00861543"/>
    <w:rsid w:val="00862BCC"/>
    <w:rsid w:val="008644EA"/>
    <w:rsid w:val="0086716E"/>
    <w:rsid w:val="00872AF7"/>
    <w:rsid w:val="00872FCB"/>
    <w:rsid w:val="00873561"/>
    <w:rsid w:val="00874A99"/>
    <w:rsid w:val="00874AA8"/>
    <w:rsid w:val="0087684B"/>
    <w:rsid w:val="00880D45"/>
    <w:rsid w:val="00881F74"/>
    <w:rsid w:val="0088303F"/>
    <w:rsid w:val="008865B3"/>
    <w:rsid w:val="00892B69"/>
    <w:rsid w:val="008940B4"/>
    <w:rsid w:val="00894F22"/>
    <w:rsid w:val="0089759F"/>
    <w:rsid w:val="008A1F50"/>
    <w:rsid w:val="008A2636"/>
    <w:rsid w:val="008A5AA0"/>
    <w:rsid w:val="008A7B83"/>
    <w:rsid w:val="008B16DB"/>
    <w:rsid w:val="008B3C1F"/>
    <w:rsid w:val="008B42B0"/>
    <w:rsid w:val="008C2E2C"/>
    <w:rsid w:val="008C2EAF"/>
    <w:rsid w:val="008C539F"/>
    <w:rsid w:val="008C72FD"/>
    <w:rsid w:val="008C738D"/>
    <w:rsid w:val="008D40F9"/>
    <w:rsid w:val="008D52FD"/>
    <w:rsid w:val="008E224D"/>
    <w:rsid w:val="008E70D2"/>
    <w:rsid w:val="008E7CD7"/>
    <w:rsid w:val="008F7AA1"/>
    <w:rsid w:val="00900E0A"/>
    <w:rsid w:val="00901E61"/>
    <w:rsid w:val="00904B8D"/>
    <w:rsid w:val="00905827"/>
    <w:rsid w:val="00907CD7"/>
    <w:rsid w:val="00907D80"/>
    <w:rsid w:val="00907FCA"/>
    <w:rsid w:val="0091258A"/>
    <w:rsid w:val="009223BC"/>
    <w:rsid w:val="0092377C"/>
    <w:rsid w:val="0092530B"/>
    <w:rsid w:val="00927C09"/>
    <w:rsid w:val="00927E02"/>
    <w:rsid w:val="00933AD9"/>
    <w:rsid w:val="009341A6"/>
    <w:rsid w:val="009362CE"/>
    <w:rsid w:val="0094208C"/>
    <w:rsid w:val="00942F17"/>
    <w:rsid w:val="00943236"/>
    <w:rsid w:val="00952CEF"/>
    <w:rsid w:val="00955421"/>
    <w:rsid w:val="00955F89"/>
    <w:rsid w:val="00963046"/>
    <w:rsid w:val="009674D7"/>
    <w:rsid w:val="00972239"/>
    <w:rsid w:val="00974572"/>
    <w:rsid w:val="009746C2"/>
    <w:rsid w:val="00975BC0"/>
    <w:rsid w:val="00975F7A"/>
    <w:rsid w:val="0098250F"/>
    <w:rsid w:val="00987475"/>
    <w:rsid w:val="00990E9C"/>
    <w:rsid w:val="00993C07"/>
    <w:rsid w:val="00994542"/>
    <w:rsid w:val="00994908"/>
    <w:rsid w:val="00994A23"/>
    <w:rsid w:val="009962A2"/>
    <w:rsid w:val="009A0E8F"/>
    <w:rsid w:val="009A17EB"/>
    <w:rsid w:val="009A7317"/>
    <w:rsid w:val="009B049A"/>
    <w:rsid w:val="009B1315"/>
    <w:rsid w:val="009B160B"/>
    <w:rsid w:val="009C237B"/>
    <w:rsid w:val="009C3106"/>
    <w:rsid w:val="009C4301"/>
    <w:rsid w:val="009C6B55"/>
    <w:rsid w:val="009D0E0B"/>
    <w:rsid w:val="009D6A0F"/>
    <w:rsid w:val="009D6DF1"/>
    <w:rsid w:val="009D70D5"/>
    <w:rsid w:val="009D798A"/>
    <w:rsid w:val="009E2319"/>
    <w:rsid w:val="009E5A93"/>
    <w:rsid w:val="009F06A6"/>
    <w:rsid w:val="009F16D1"/>
    <w:rsid w:val="009F3154"/>
    <w:rsid w:val="009F3B78"/>
    <w:rsid w:val="009F7BAF"/>
    <w:rsid w:val="00A010F9"/>
    <w:rsid w:val="00A01783"/>
    <w:rsid w:val="00A06CFB"/>
    <w:rsid w:val="00A105AB"/>
    <w:rsid w:val="00A1211C"/>
    <w:rsid w:val="00A127A8"/>
    <w:rsid w:val="00A15711"/>
    <w:rsid w:val="00A173FA"/>
    <w:rsid w:val="00A1784C"/>
    <w:rsid w:val="00A20113"/>
    <w:rsid w:val="00A20D78"/>
    <w:rsid w:val="00A2215F"/>
    <w:rsid w:val="00A22839"/>
    <w:rsid w:val="00A23E19"/>
    <w:rsid w:val="00A25FCC"/>
    <w:rsid w:val="00A31453"/>
    <w:rsid w:val="00A32827"/>
    <w:rsid w:val="00A33185"/>
    <w:rsid w:val="00A37E1E"/>
    <w:rsid w:val="00A42972"/>
    <w:rsid w:val="00A45321"/>
    <w:rsid w:val="00A459B9"/>
    <w:rsid w:val="00A461C0"/>
    <w:rsid w:val="00A47F06"/>
    <w:rsid w:val="00A50FB4"/>
    <w:rsid w:val="00A531D3"/>
    <w:rsid w:val="00A53B04"/>
    <w:rsid w:val="00A54F14"/>
    <w:rsid w:val="00A56559"/>
    <w:rsid w:val="00A57A5E"/>
    <w:rsid w:val="00A65541"/>
    <w:rsid w:val="00A65B4D"/>
    <w:rsid w:val="00A65FE1"/>
    <w:rsid w:val="00A661F4"/>
    <w:rsid w:val="00A66326"/>
    <w:rsid w:val="00A677E0"/>
    <w:rsid w:val="00A7271A"/>
    <w:rsid w:val="00A733B1"/>
    <w:rsid w:val="00A73752"/>
    <w:rsid w:val="00A770DA"/>
    <w:rsid w:val="00A77A1B"/>
    <w:rsid w:val="00A81E19"/>
    <w:rsid w:val="00A859C1"/>
    <w:rsid w:val="00A9344D"/>
    <w:rsid w:val="00A948D8"/>
    <w:rsid w:val="00A94B01"/>
    <w:rsid w:val="00A96A65"/>
    <w:rsid w:val="00AA225D"/>
    <w:rsid w:val="00AB14A5"/>
    <w:rsid w:val="00AB4244"/>
    <w:rsid w:val="00AB795F"/>
    <w:rsid w:val="00AB7E6E"/>
    <w:rsid w:val="00AC1489"/>
    <w:rsid w:val="00AC2B0E"/>
    <w:rsid w:val="00AC32BC"/>
    <w:rsid w:val="00AC3FEB"/>
    <w:rsid w:val="00AC4D78"/>
    <w:rsid w:val="00AC6312"/>
    <w:rsid w:val="00AC6948"/>
    <w:rsid w:val="00AD0DB8"/>
    <w:rsid w:val="00AD1BB8"/>
    <w:rsid w:val="00AD1E77"/>
    <w:rsid w:val="00AD3B1E"/>
    <w:rsid w:val="00AD41AF"/>
    <w:rsid w:val="00AD477D"/>
    <w:rsid w:val="00AD5BD9"/>
    <w:rsid w:val="00AD659D"/>
    <w:rsid w:val="00AD6D80"/>
    <w:rsid w:val="00AE7722"/>
    <w:rsid w:val="00AF02F9"/>
    <w:rsid w:val="00B06470"/>
    <w:rsid w:val="00B1160D"/>
    <w:rsid w:val="00B11EE8"/>
    <w:rsid w:val="00B13936"/>
    <w:rsid w:val="00B17785"/>
    <w:rsid w:val="00B224E8"/>
    <w:rsid w:val="00B23DFF"/>
    <w:rsid w:val="00B2640E"/>
    <w:rsid w:val="00B326CE"/>
    <w:rsid w:val="00B3593B"/>
    <w:rsid w:val="00B366E1"/>
    <w:rsid w:val="00B429C7"/>
    <w:rsid w:val="00B43403"/>
    <w:rsid w:val="00B4433B"/>
    <w:rsid w:val="00B444E6"/>
    <w:rsid w:val="00B45F55"/>
    <w:rsid w:val="00B50FA3"/>
    <w:rsid w:val="00B52011"/>
    <w:rsid w:val="00B52566"/>
    <w:rsid w:val="00B53EFF"/>
    <w:rsid w:val="00B543D4"/>
    <w:rsid w:val="00B54AFA"/>
    <w:rsid w:val="00B564CC"/>
    <w:rsid w:val="00B671A4"/>
    <w:rsid w:val="00B718A3"/>
    <w:rsid w:val="00B75BFF"/>
    <w:rsid w:val="00B76B76"/>
    <w:rsid w:val="00B76CAF"/>
    <w:rsid w:val="00B804E8"/>
    <w:rsid w:val="00B845F5"/>
    <w:rsid w:val="00B91287"/>
    <w:rsid w:val="00B91C6F"/>
    <w:rsid w:val="00B932BD"/>
    <w:rsid w:val="00B9674B"/>
    <w:rsid w:val="00BA037D"/>
    <w:rsid w:val="00BA4DE5"/>
    <w:rsid w:val="00BA5ACC"/>
    <w:rsid w:val="00BA668A"/>
    <w:rsid w:val="00BA7BD7"/>
    <w:rsid w:val="00BB6EA9"/>
    <w:rsid w:val="00BC088B"/>
    <w:rsid w:val="00BC1ED5"/>
    <w:rsid w:val="00BC206C"/>
    <w:rsid w:val="00BC431A"/>
    <w:rsid w:val="00BC789C"/>
    <w:rsid w:val="00BD117E"/>
    <w:rsid w:val="00BD13F8"/>
    <w:rsid w:val="00BD3E1E"/>
    <w:rsid w:val="00BD64EC"/>
    <w:rsid w:val="00BE49E1"/>
    <w:rsid w:val="00BF13BE"/>
    <w:rsid w:val="00BF26BA"/>
    <w:rsid w:val="00BF2C8B"/>
    <w:rsid w:val="00BF5429"/>
    <w:rsid w:val="00BF5993"/>
    <w:rsid w:val="00BF6244"/>
    <w:rsid w:val="00BF77BC"/>
    <w:rsid w:val="00C01071"/>
    <w:rsid w:val="00C01A35"/>
    <w:rsid w:val="00C03772"/>
    <w:rsid w:val="00C04EDA"/>
    <w:rsid w:val="00C115E5"/>
    <w:rsid w:val="00C119A2"/>
    <w:rsid w:val="00C132C3"/>
    <w:rsid w:val="00C16213"/>
    <w:rsid w:val="00C17DA8"/>
    <w:rsid w:val="00C20039"/>
    <w:rsid w:val="00C26403"/>
    <w:rsid w:val="00C27128"/>
    <w:rsid w:val="00C3283D"/>
    <w:rsid w:val="00C37978"/>
    <w:rsid w:val="00C43A7A"/>
    <w:rsid w:val="00C43BAE"/>
    <w:rsid w:val="00C57267"/>
    <w:rsid w:val="00C57E4F"/>
    <w:rsid w:val="00C60134"/>
    <w:rsid w:val="00C603B4"/>
    <w:rsid w:val="00C60EEB"/>
    <w:rsid w:val="00C616FF"/>
    <w:rsid w:val="00C61EBA"/>
    <w:rsid w:val="00C62B63"/>
    <w:rsid w:val="00C62ECA"/>
    <w:rsid w:val="00C67061"/>
    <w:rsid w:val="00C7123F"/>
    <w:rsid w:val="00C72489"/>
    <w:rsid w:val="00C72B5B"/>
    <w:rsid w:val="00C77081"/>
    <w:rsid w:val="00C869F3"/>
    <w:rsid w:val="00C90E5C"/>
    <w:rsid w:val="00C95F1C"/>
    <w:rsid w:val="00CA04A1"/>
    <w:rsid w:val="00CA0FBF"/>
    <w:rsid w:val="00CB1584"/>
    <w:rsid w:val="00CB68EA"/>
    <w:rsid w:val="00CC0320"/>
    <w:rsid w:val="00CC18AC"/>
    <w:rsid w:val="00CC2E70"/>
    <w:rsid w:val="00CC3229"/>
    <w:rsid w:val="00CC4556"/>
    <w:rsid w:val="00CC5A9A"/>
    <w:rsid w:val="00CC637A"/>
    <w:rsid w:val="00CD2DED"/>
    <w:rsid w:val="00CD3E97"/>
    <w:rsid w:val="00CD4CA7"/>
    <w:rsid w:val="00CD7D5D"/>
    <w:rsid w:val="00CE6E87"/>
    <w:rsid w:val="00CE7B84"/>
    <w:rsid w:val="00CF0621"/>
    <w:rsid w:val="00CF08CA"/>
    <w:rsid w:val="00CF0FC4"/>
    <w:rsid w:val="00CF100A"/>
    <w:rsid w:val="00CF4A37"/>
    <w:rsid w:val="00CF6932"/>
    <w:rsid w:val="00CF7212"/>
    <w:rsid w:val="00D01FE3"/>
    <w:rsid w:val="00D0381E"/>
    <w:rsid w:val="00D05DD2"/>
    <w:rsid w:val="00D06CA3"/>
    <w:rsid w:val="00D07A10"/>
    <w:rsid w:val="00D07F46"/>
    <w:rsid w:val="00D10680"/>
    <w:rsid w:val="00D11004"/>
    <w:rsid w:val="00D15AD6"/>
    <w:rsid w:val="00D170E5"/>
    <w:rsid w:val="00D21A6E"/>
    <w:rsid w:val="00D221CA"/>
    <w:rsid w:val="00D31792"/>
    <w:rsid w:val="00D3582B"/>
    <w:rsid w:val="00D37F2F"/>
    <w:rsid w:val="00D4048A"/>
    <w:rsid w:val="00D415B9"/>
    <w:rsid w:val="00D41E9C"/>
    <w:rsid w:val="00D4325C"/>
    <w:rsid w:val="00D528E8"/>
    <w:rsid w:val="00D63082"/>
    <w:rsid w:val="00D6577B"/>
    <w:rsid w:val="00D6621F"/>
    <w:rsid w:val="00D705D1"/>
    <w:rsid w:val="00D70AE4"/>
    <w:rsid w:val="00D73AC7"/>
    <w:rsid w:val="00D7496D"/>
    <w:rsid w:val="00D771D0"/>
    <w:rsid w:val="00D77962"/>
    <w:rsid w:val="00D835CF"/>
    <w:rsid w:val="00D83BE4"/>
    <w:rsid w:val="00D914A8"/>
    <w:rsid w:val="00D9361F"/>
    <w:rsid w:val="00DA0167"/>
    <w:rsid w:val="00DA18DC"/>
    <w:rsid w:val="00DA26FB"/>
    <w:rsid w:val="00DA3382"/>
    <w:rsid w:val="00DA36BE"/>
    <w:rsid w:val="00DA50D0"/>
    <w:rsid w:val="00DB3094"/>
    <w:rsid w:val="00DB6C3D"/>
    <w:rsid w:val="00DB6FD2"/>
    <w:rsid w:val="00DC2280"/>
    <w:rsid w:val="00DC22EE"/>
    <w:rsid w:val="00DC28FA"/>
    <w:rsid w:val="00DC3D12"/>
    <w:rsid w:val="00DC5ACF"/>
    <w:rsid w:val="00DC78A1"/>
    <w:rsid w:val="00DD0FDC"/>
    <w:rsid w:val="00DD1436"/>
    <w:rsid w:val="00DD3573"/>
    <w:rsid w:val="00DD4D38"/>
    <w:rsid w:val="00DD5F4F"/>
    <w:rsid w:val="00DD726B"/>
    <w:rsid w:val="00DD7468"/>
    <w:rsid w:val="00DE1774"/>
    <w:rsid w:val="00DE1F97"/>
    <w:rsid w:val="00DE25E9"/>
    <w:rsid w:val="00DE408A"/>
    <w:rsid w:val="00DE6FE7"/>
    <w:rsid w:val="00DE71D3"/>
    <w:rsid w:val="00DE72CF"/>
    <w:rsid w:val="00DE74BF"/>
    <w:rsid w:val="00DF08A0"/>
    <w:rsid w:val="00E052FB"/>
    <w:rsid w:val="00E0555F"/>
    <w:rsid w:val="00E1016F"/>
    <w:rsid w:val="00E137E3"/>
    <w:rsid w:val="00E13BEF"/>
    <w:rsid w:val="00E14252"/>
    <w:rsid w:val="00E17F55"/>
    <w:rsid w:val="00E201DB"/>
    <w:rsid w:val="00E20F75"/>
    <w:rsid w:val="00E22CEE"/>
    <w:rsid w:val="00E2567C"/>
    <w:rsid w:val="00E33506"/>
    <w:rsid w:val="00E35993"/>
    <w:rsid w:val="00E35EBF"/>
    <w:rsid w:val="00E4283D"/>
    <w:rsid w:val="00E42B90"/>
    <w:rsid w:val="00E43565"/>
    <w:rsid w:val="00E43A2C"/>
    <w:rsid w:val="00E44828"/>
    <w:rsid w:val="00E44EAC"/>
    <w:rsid w:val="00E45D62"/>
    <w:rsid w:val="00E47323"/>
    <w:rsid w:val="00E50F5C"/>
    <w:rsid w:val="00E51E1A"/>
    <w:rsid w:val="00E5269A"/>
    <w:rsid w:val="00E544BB"/>
    <w:rsid w:val="00E54C76"/>
    <w:rsid w:val="00E70760"/>
    <w:rsid w:val="00E729A7"/>
    <w:rsid w:val="00E743C1"/>
    <w:rsid w:val="00E7729B"/>
    <w:rsid w:val="00E81261"/>
    <w:rsid w:val="00E84073"/>
    <w:rsid w:val="00E9253C"/>
    <w:rsid w:val="00E932B7"/>
    <w:rsid w:val="00E95426"/>
    <w:rsid w:val="00EA3893"/>
    <w:rsid w:val="00EA4C22"/>
    <w:rsid w:val="00EB09B7"/>
    <w:rsid w:val="00EB165D"/>
    <w:rsid w:val="00EB28A3"/>
    <w:rsid w:val="00EB3CF0"/>
    <w:rsid w:val="00EB45B5"/>
    <w:rsid w:val="00EB5798"/>
    <w:rsid w:val="00EB5E57"/>
    <w:rsid w:val="00EB61DB"/>
    <w:rsid w:val="00EC0A45"/>
    <w:rsid w:val="00EC0F18"/>
    <w:rsid w:val="00EC1694"/>
    <w:rsid w:val="00EC308C"/>
    <w:rsid w:val="00EC3B0E"/>
    <w:rsid w:val="00EC5664"/>
    <w:rsid w:val="00EC5810"/>
    <w:rsid w:val="00EC6090"/>
    <w:rsid w:val="00ED03AB"/>
    <w:rsid w:val="00ED19FE"/>
    <w:rsid w:val="00ED1AD0"/>
    <w:rsid w:val="00ED1D7B"/>
    <w:rsid w:val="00ED286B"/>
    <w:rsid w:val="00ED48B9"/>
    <w:rsid w:val="00ED4AFD"/>
    <w:rsid w:val="00ED4FAE"/>
    <w:rsid w:val="00ED5392"/>
    <w:rsid w:val="00ED6776"/>
    <w:rsid w:val="00ED729D"/>
    <w:rsid w:val="00ED77EA"/>
    <w:rsid w:val="00EE01EA"/>
    <w:rsid w:val="00EE0EC8"/>
    <w:rsid w:val="00EE44FF"/>
    <w:rsid w:val="00EE4FBE"/>
    <w:rsid w:val="00EE5CDB"/>
    <w:rsid w:val="00EF04A8"/>
    <w:rsid w:val="00EF20A1"/>
    <w:rsid w:val="00F00E36"/>
    <w:rsid w:val="00F0122D"/>
    <w:rsid w:val="00F024B0"/>
    <w:rsid w:val="00F038A1"/>
    <w:rsid w:val="00F06477"/>
    <w:rsid w:val="00F06888"/>
    <w:rsid w:val="00F06E4E"/>
    <w:rsid w:val="00F1216A"/>
    <w:rsid w:val="00F148EC"/>
    <w:rsid w:val="00F159A9"/>
    <w:rsid w:val="00F20CAF"/>
    <w:rsid w:val="00F223EC"/>
    <w:rsid w:val="00F25F10"/>
    <w:rsid w:val="00F31973"/>
    <w:rsid w:val="00F33DA2"/>
    <w:rsid w:val="00F36F57"/>
    <w:rsid w:val="00F43675"/>
    <w:rsid w:val="00F44ED2"/>
    <w:rsid w:val="00F4513F"/>
    <w:rsid w:val="00F50D49"/>
    <w:rsid w:val="00F51E01"/>
    <w:rsid w:val="00F539BD"/>
    <w:rsid w:val="00F5649A"/>
    <w:rsid w:val="00F652D2"/>
    <w:rsid w:val="00F65A6B"/>
    <w:rsid w:val="00F67DC5"/>
    <w:rsid w:val="00F71228"/>
    <w:rsid w:val="00F73490"/>
    <w:rsid w:val="00F7520E"/>
    <w:rsid w:val="00F76B23"/>
    <w:rsid w:val="00F77D70"/>
    <w:rsid w:val="00F82342"/>
    <w:rsid w:val="00F8370D"/>
    <w:rsid w:val="00F86A2E"/>
    <w:rsid w:val="00F872DB"/>
    <w:rsid w:val="00F877DB"/>
    <w:rsid w:val="00F90C82"/>
    <w:rsid w:val="00F91AE4"/>
    <w:rsid w:val="00F9287F"/>
    <w:rsid w:val="00F92FA4"/>
    <w:rsid w:val="00F93222"/>
    <w:rsid w:val="00F93C8B"/>
    <w:rsid w:val="00F959DD"/>
    <w:rsid w:val="00F960D5"/>
    <w:rsid w:val="00F965A5"/>
    <w:rsid w:val="00FA24E3"/>
    <w:rsid w:val="00FA5494"/>
    <w:rsid w:val="00FA5784"/>
    <w:rsid w:val="00FA59F4"/>
    <w:rsid w:val="00FA65E1"/>
    <w:rsid w:val="00FB1231"/>
    <w:rsid w:val="00FB199A"/>
    <w:rsid w:val="00FC0285"/>
    <w:rsid w:val="00FC11B4"/>
    <w:rsid w:val="00FC1C5C"/>
    <w:rsid w:val="00FC2390"/>
    <w:rsid w:val="00FC4FA7"/>
    <w:rsid w:val="00FC513B"/>
    <w:rsid w:val="00FC6124"/>
    <w:rsid w:val="00FD0A11"/>
    <w:rsid w:val="00FD31AC"/>
    <w:rsid w:val="00FD500C"/>
    <w:rsid w:val="00FD50B6"/>
    <w:rsid w:val="00FD6B28"/>
    <w:rsid w:val="00FD6F25"/>
    <w:rsid w:val="00FE023A"/>
    <w:rsid w:val="00FE17E2"/>
    <w:rsid w:val="00FE3000"/>
    <w:rsid w:val="00FE43FF"/>
    <w:rsid w:val="00FF0EF6"/>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06501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8B16DB"/>
    <w:rPr>
      <w:sz w:val="16"/>
      <w:szCs w:val="16"/>
    </w:rPr>
  </w:style>
  <w:style w:type="paragraph" w:styleId="CommentText">
    <w:name w:val="annotation text"/>
    <w:basedOn w:val="Normal"/>
    <w:link w:val="CommentTextChar"/>
    <w:semiHidden/>
    <w:unhideWhenUsed/>
    <w:rsid w:val="008B16DB"/>
    <w:rPr>
      <w:sz w:val="20"/>
    </w:rPr>
  </w:style>
  <w:style w:type="character" w:customStyle="1" w:styleId="CommentTextChar">
    <w:name w:val="Comment Text Char"/>
    <w:basedOn w:val="DefaultParagraphFont"/>
    <w:link w:val="CommentText"/>
    <w:semiHidden/>
    <w:rsid w:val="008B16DB"/>
    <w:rPr>
      <w:rFonts w:ascii="Arial" w:hAnsi="Arial"/>
      <w:lang w:eastAsia="en-US"/>
    </w:rPr>
  </w:style>
  <w:style w:type="paragraph" w:styleId="CommentSubject">
    <w:name w:val="annotation subject"/>
    <w:basedOn w:val="CommentText"/>
    <w:next w:val="CommentText"/>
    <w:link w:val="CommentSubjectChar"/>
    <w:semiHidden/>
    <w:unhideWhenUsed/>
    <w:rsid w:val="008B16DB"/>
    <w:rPr>
      <w:b/>
      <w:bCs/>
    </w:rPr>
  </w:style>
  <w:style w:type="character" w:customStyle="1" w:styleId="CommentSubjectChar">
    <w:name w:val="Comment Subject Char"/>
    <w:basedOn w:val="CommentTextChar"/>
    <w:link w:val="CommentSubject"/>
    <w:semiHidden/>
    <w:rsid w:val="008B16DB"/>
    <w:rPr>
      <w:rFonts w:ascii="Arial" w:hAnsi="Arial"/>
      <w:b/>
      <w:bCs/>
      <w:lang w:eastAsia="en-US"/>
    </w:rPr>
  </w:style>
  <w:style w:type="paragraph" w:customStyle="1" w:styleId="TableParagraph">
    <w:name w:val="Table Paragraph"/>
    <w:basedOn w:val="Normal"/>
    <w:uiPriority w:val="1"/>
    <w:qFormat/>
    <w:rsid w:val="00D7496D"/>
    <w:pPr>
      <w:widowControl w:val="0"/>
      <w:autoSpaceDE w:val="0"/>
      <w:autoSpaceDN w:val="0"/>
    </w:pPr>
    <w:rPr>
      <w:rFonts w:eastAsia="Arial" w:cs="Arial"/>
      <w:sz w:val="22"/>
      <w:szCs w:val="22"/>
      <w:lang w:val="en-US"/>
    </w:rPr>
  </w:style>
  <w:style w:type="paragraph" w:customStyle="1" w:styleId="CabNumPara">
    <w:name w:val="Cab Num Para"/>
    <w:basedOn w:val="ListParagraph"/>
    <w:link w:val="CabNumParaChar"/>
    <w:qFormat/>
    <w:rsid w:val="0092377C"/>
    <w:pPr>
      <w:numPr>
        <w:ilvl w:val="1"/>
        <w:numId w:val="11"/>
      </w:numPr>
      <w:spacing w:before="120" w:after="120"/>
    </w:pPr>
    <w:rPr>
      <w:lang w:eastAsia="en-GB"/>
    </w:rPr>
  </w:style>
  <w:style w:type="paragraph" w:customStyle="1" w:styleId="CabNumTitle">
    <w:name w:val="Cab Num Title"/>
    <w:basedOn w:val="Heading1"/>
    <w:qFormat/>
    <w:rsid w:val="0092377C"/>
    <w:pPr>
      <w:keepNext/>
      <w:numPr>
        <w:numId w:val="11"/>
      </w:numPr>
      <w:spacing w:before="240"/>
    </w:pPr>
    <w:rPr>
      <w:rFonts w:ascii="Arial" w:hAnsi="Arial" w:cs="Times New Roman"/>
      <w:b/>
      <w:sz w:val="24"/>
      <w:szCs w:val="20"/>
      <w:lang w:eastAsia="en-GB"/>
    </w:rPr>
  </w:style>
  <w:style w:type="character" w:customStyle="1" w:styleId="CabNumParaChar">
    <w:name w:val="Cab Num Para Char"/>
    <w:basedOn w:val="DefaultParagraphFont"/>
    <w:link w:val="CabNumPara"/>
    <w:rsid w:val="0092377C"/>
    <w:rPr>
      <w:rFonts w:ascii="Arial" w:hAnsi="Arial"/>
      <w:sz w:val="24"/>
    </w:rPr>
  </w:style>
  <w:style w:type="paragraph" w:customStyle="1" w:styleId="CabPara2">
    <w:name w:val="Cab Para 2"/>
    <w:basedOn w:val="CabNumTitle"/>
    <w:qFormat/>
    <w:rsid w:val="0092377C"/>
    <w:pPr>
      <w:numPr>
        <w:ilvl w:val="2"/>
      </w:numPr>
    </w:pPr>
    <w:rPr>
      <w:b w:val="0"/>
      <w:bCs w:val="0"/>
    </w:rPr>
  </w:style>
  <w:style w:type="character" w:styleId="UnresolvedMention">
    <w:name w:val="Unresolved Mention"/>
    <w:basedOn w:val="DefaultParagraphFont"/>
    <w:uiPriority w:val="99"/>
    <w:semiHidden/>
    <w:unhideWhenUsed/>
    <w:rsid w:val="00587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48204637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2055613758">
      <w:bodyDiv w:val="1"/>
      <w:marLeft w:val="0"/>
      <w:marRight w:val="0"/>
      <w:marTop w:val="0"/>
      <w:marBottom w:val="0"/>
      <w:divBdr>
        <w:top w:val="none" w:sz="0" w:space="0" w:color="auto"/>
        <w:left w:val="none" w:sz="0" w:space="0" w:color="auto"/>
        <w:bottom w:val="none" w:sz="0" w:space="0" w:color="auto"/>
        <w:right w:val="none" w:sz="0" w:space="0" w:color="auto"/>
      </w:divBdr>
      <w:divsChild>
        <w:div w:id="1576087378">
          <w:marLeft w:val="547"/>
          <w:marRight w:val="0"/>
          <w:marTop w:val="115"/>
          <w:marBottom w:val="0"/>
          <w:divBdr>
            <w:top w:val="none" w:sz="0" w:space="0" w:color="auto"/>
            <w:left w:val="none" w:sz="0" w:space="0" w:color="auto"/>
            <w:bottom w:val="none" w:sz="0" w:space="0" w:color="auto"/>
            <w:right w:val="none" w:sz="0" w:space="0" w:color="auto"/>
          </w:divBdr>
        </w:div>
        <w:div w:id="848375704">
          <w:marLeft w:val="1166"/>
          <w:marRight w:val="0"/>
          <w:marTop w:val="96"/>
          <w:marBottom w:val="0"/>
          <w:divBdr>
            <w:top w:val="none" w:sz="0" w:space="0" w:color="auto"/>
            <w:left w:val="none" w:sz="0" w:space="0" w:color="auto"/>
            <w:bottom w:val="none" w:sz="0" w:space="0" w:color="auto"/>
            <w:right w:val="none" w:sz="0" w:space="0" w:color="auto"/>
          </w:divBdr>
        </w:div>
        <w:div w:id="647981696">
          <w:marLeft w:val="547"/>
          <w:marRight w:val="0"/>
          <w:marTop w:val="115"/>
          <w:marBottom w:val="0"/>
          <w:divBdr>
            <w:top w:val="none" w:sz="0" w:space="0" w:color="auto"/>
            <w:left w:val="none" w:sz="0" w:space="0" w:color="auto"/>
            <w:bottom w:val="none" w:sz="0" w:space="0" w:color="auto"/>
            <w:right w:val="none" w:sz="0" w:space="0" w:color="auto"/>
          </w:divBdr>
        </w:div>
        <w:div w:id="561522551">
          <w:marLeft w:val="547"/>
          <w:marRight w:val="0"/>
          <w:marTop w:val="115"/>
          <w:marBottom w:val="0"/>
          <w:divBdr>
            <w:top w:val="none" w:sz="0" w:space="0" w:color="auto"/>
            <w:left w:val="none" w:sz="0" w:space="0" w:color="auto"/>
            <w:bottom w:val="none" w:sz="0" w:space="0" w:color="auto"/>
            <w:right w:val="none" w:sz="0" w:space="0" w:color="auto"/>
          </w:divBdr>
        </w:div>
        <w:div w:id="73823500">
          <w:marLeft w:val="547"/>
          <w:marRight w:val="0"/>
          <w:marTop w:val="115"/>
          <w:marBottom w:val="0"/>
          <w:divBdr>
            <w:top w:val="none" w:sz="0" w:space="0" w:color="auto"/>
            <w:left w:val="none" w:sz="0" w:space="0" w:color="auto"/>
            <w:bottom w:val="none" w:sz="0" w:space="0" w:color="auto"/>
            <w:right w:val="none" w:sz="0" w:space="0" w:color="auto"/>
          </w:divBdr>
        </w:div>
        <w:div w:id="1261642460">
          <w:marLeft w:val="547"/>
          <w:marRight w:val="0"/>
          <w:marTop w:val="115"/>
          <w:marBottom w:val="0"/>
          <w:divBdr>
            <w:top w:val="none" w:sz="0" w:space="0" w:color="auto"/>
            <w:left w:val="none" w:sz="0" w:space="0" w:color="auto"/>
            <w:bottom w:val="none" w:sz="0" w:space="0" w:color="auto"/>
            <w:right w:val="none" w:sz="0" w:space="0" w:color="auto"/>
          </w:divBdr>
        </w:div>
        <w:div w:id="1801070041">
          <w:marLeft w:val="547"/>
          <w:marRight w:val="0"/>
          <w:marTop w:val="115"/>
          <w:marBottom w:val="0"/>
          <w:divBdr>
            <w:top w:val="none" w:sz="0" w:space="0" w:color="auto"/>
            <w:left w:val="none" w:sz="0" w:space="0" w:color="auto"/>
            <w:bottom w:val="none" w:sz="0" w:space="0" w:color="auto"/>
            <w:right w:val="none" w:sz="0" w:space="0" w:color="auto"/>
          </w:divBdr>
        </w:div>
        <w:div w:id="1663894514">
          <w:marLeft w:val="547"/>
          <w:marRight w:val="0"/>
          <w:marTop w:val="115"/>
          <w:marBottom w:val="0"/>
          <w:divBdr>
            <w:top w:val="none" w:sz="0" w:space="0" w:color="auto"/>
            <w:left w:val="none" w:sz="0" w:space="0" w:color="auto"/>
            <w:bottom w:val="none" w:sz="0" w:space="0" w:color="auto"/>
            <w:right w:val="none" w:sz="0" w:space="0" w:color="auto"/>
          </w:divBdr>
        </w:div>
        <w:div w:id="341123635">
          <w:marLeft w:val="547"/>
          <w:marRight w:val="0"/>
          <w:marTop w:val="115"/>
          <w:marBottom w:val="0"/>
          <w:divBdr>
            <w:top w:val="none" w:sz="0" w:space="0" w:color="auto"/>
            <w:left w:val="none" w:sz="0" w:space="0" w:color="auto"/>
            <w:bottom w:val="none" w:sz="0" w:space="0" w:color="auto"/>
            <w:right w:val="none" w:sz="0" w:space="0" w:color="auto"/>
          </w:divBdr>
        </w:div>
        <w:div w:id="5374736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julian.wain@harrow.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oderngov.harrow.gov.uk/documents/s174200/211109%20Grange%20Farm%20Phase%202%20and%203%20Cabinet%20Report%20November%20FINAL.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moderngov.harrow.gov.uk/documents/s174190/Cabinet%20Report%20-%20Milton%20Road%20Transfer%20to%20HSDP%20101121%20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https://moderngov.harrow.gov.uk/documents/s178622/Milton%20Road%20September%202022%20-%20v%205.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oderngov.harrow.gov.uk/documents/s172561/Harrow%20Strategic%20Development%20Partnership%20Contract%20Close%20and%20Establish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yperlink" Target="https://moderngov.harrow.gov.uk/documents/s176065/Cabinet%20HSDP%20Update%20March%202022%20V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7" ma:contentTypeDescription="Create a new document." ma:contentTypeScope="" ma:versionID="d9c86f790f52bb5cb48f1ada075a1227">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e54fdb2abd0b5d3434e6573ef8b2d7e"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7769C457-CDF3-4499-8798-4AF5FAD4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FDD83E8-5691-414D-BF7E-A63D84D90DB9}">
  <ds:schemaRefs>
    <ds:schemaRef ds:uri="http://schemas.openxmlformats.org/officeDocument/2006/bibliography"/>
  </ds:schemaRefs>
</ds:datastoreItem>
</file>

<file path=customXml/itemProps5.xml><?xml version="1.0" encoding="utf-8"?>
<ds:datastoreItem xmlns:ds="http://schemas.openxmlformats.org/officeDocument/2006/customXml" ds:itemID="{05B1B39E-4BD6-4D34-B83E-79D5CD4DA147}">
  <ds:schemaRefs>
    <ds:schemaRef ds:uri="http://schemas.microsoft.com/office/infopath/2007/PartnerControls"/>
    <ds:schemaRef ds:uri="http://purl.org/dc/elements/1.1/"/>
    <ds:schemaRef ds:uri="http://schemas.microsoft.com/office/2006/metadata/properties"/>
    <ds:schemaRef ds:uri="27de0dcf-7e4b-46ba-b260-4cfde2c33e74"/>
    <ds:schemaRef ds:uri="http://purl.org/dc/terms/"/>
    <ds:schemaRef ds:uri="c6bdeb93-2270-4bf7-9e85-6688a4728aea"/>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6518</Words>
  <Characters>34555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40992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2022-11-01T09:38:00Z</dcterms:created>
  <dcterms:modified xsi:type="dcterms:W3CDTF">2022-11-08T11:43:00Z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